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D33F17" w:rsidRDefault="00080EDA">
      <w:pPr>
        <w:pStyle w:val="Ttulo2"/>
        <w:keepNext w:val="0"/>
        <w:widowControl/>
        <w:spacing w:before="200" w:line="276" w:lineRule="auto"/>
        <w:jc w:val="both"/>
        <w:rPr>
          <w:color w:val="4F81BD"/>
          <w:sz w:val="22"/>
          <w:szCs w:val="22"/>
        </w:rPr>
      </w:pPr>
      <w:r>
        <w:rPr>
          <w:color w:val="4F81BD"/>
          <w:sz w:val="22"/>
          <w:szCs w:val="22"/>
        </w:rPr>
        <w:t xml:space="preserve"> </w:t>
      </w:r>
      <w:r>
        <w:rPr>
          <w:noProof/>
        </w:rPr>
        <w:drawing>
          <wp:anchor distT="0" distB="0" distL="0" distR="0" simplePos="0" relativeHeight="251658240" behindDoc="1" locked="0" layoutInCell="1" hidden="0" allowOverlap="1">
            <wp:simplePos x="0" y="0"/>
            <wp:positionH relativeFrom="column">
              <wp:posOffset>-1105534</wp:posOffset>
            </wp:positionH>
            <wp:positionV relativeFrom="paragraph">
              <wp:posOffset>-1205864</wp:posOffset>
            </wp:positionV>
            <wp:extent cx="7859608" cy="10261600"/>
            <wp:effectExtent l="0" t="0" r="0" b="0"/>
            <wp:wrapNone/>
            <wp:docPr id="2048110473"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7859608" cy="10261600"/>
                    </a:xfrm>
                    <a:prstGeom prst="rect">
                      <a:avLst/>
                    </a:prstGeom>
                    <a:ln/>
                  </pic:spPr>
                </pic:pic>
              </a:graphicData>
            </a:graphic>
          </wp:anchor>
        </w:drawing>
      </w:r>
    </w:p>
    <w:p w:rsidR="00D33F17" w:rsidRDefault="00D33F17">
      <w:pPr>
        <w:pStyle w:val="Ttulo2"/>
        <w:keepNext w:val="0"/>
        <w:widowControl/>
        <w:spacing w:before="200" w:line="276" w:lineRule="auto"/>
        <w:jc w:val="both"/>
        <w:rPr>
          <w:color w:val="4F81BD"/>
          <w:sz w:val="22"/>
          <w:szCs w:val="22"/>
        </w:rPr>
      </w:pPr>
      <w:bookmarkStart w:id="0" w:name="_heading=h.gl93seuurte2" w:colFirst="0" w:colLast="0"/>
      <w:bookmarkEnd w:id="0"/>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D33F17">
      <w:pPr>
        <w:pStyle w:val="Ttulo2"/>
        <w:keepNext w:val="0"/>
        <w:widowControl/>
        <w:spacing w:before="200" w:line="276" w:lineRule="auto"/>
        <w:jc w:val="both"/>
        <w:rPr>
          <w:color w:val="4F81BD"/>
          <w:sz w:val="22"/>
          <w:szCs w:val="22"/>
        </w:rPr>
      </w:pPr>
    </w:p>
    <w:p w:rsidR="00D33F17" w:rsidRDefault="00080EDA">
      <w:pPr>
        <w:pStyle w:val="Ttulo2"/>
        <w:keepNext w:val="0"/>
        <w:widowControl/>
        <w:spacing w:before="200" w:line="276" w:lineRule="auto"/>
        <w:jc w:val="left"/>
        <w:rPr>
          <w:rFonts w:ascii="Century Gothic" w:eastAsia="Century Gothic" w:hAnsi="Century Gothic" w:cs="Century Gothic"/>
          <w:color w:val="00B0F0"/>
          <w:sz w:val="28"/>
          <w:szCs w:val="28"/>
        </w:rPr>
      </w:pPr>
      <w:r>
        <w:rPr>
          <w:rFonts w:ascii="Century Gothic" w:eastAsia="Century Gothic" w:hAnsi="Century Gothic" w:cs="Century Gothic"/>
          <w:color w:val="00B0F0"/>
          <w:sz w:val="28"/>
          <w:szCs w:val="28"/>
        </w:rPr>
        <w:lastRenderedPageBreak/>
        <w:t>Introducción</w:t>
      </w:r>
    </w:p>
    <w:p w:rsidR="00D33F17" w:rsidRDefault="00D33F17">
      <w:pPr>
        <w:spacing w:line="276" w:lineRule="auto"/>
        <w:jc w:val="both"/>
        <w:rPr>
          <w:rFonts w:ascii="Arial" w:eastAsia="Arial" w:hAnsi="Arial" w:cs="Arial"/>
          <w:sz w:val="22"/>
          <w:szCs w:val="22"/>
        </w:rPr>
      </w:pPr>
    </w:p>
    <w:p w:rsidR="00D33F17" w:rsidRDefault="00080EDA">
      <w:pPr>
        <w:spacing w:after="200" w:line="360"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presente informe consolida la información sobre la implementación de las estrategias definidas en el Plan de Desarrollo Departamental (PDD) y las estrategias de las Empresas Industriales y Comerciales del departamento. Este documento tiene como finalidad presentar un análisis detallado del avance en la ejecución de dichas estrategias, identificando productos y entregables alcanzados, indicadores, avances cuantitativos y porcentajes de cumplimiento.</w:t>
      </w:r>
    </w:p>
    <w:p w:rsidR="00D33F17" w:rsidRDefault="00080EDA">
      <w:pPr>
        <w:spacing w:after="200" w:line="360"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Este informe busca, por tanto, ser una herramienta técnica que respalde el seguimiento de la ejecución de las actividades de cada una de las estrategias propuestas en el marco de los lineamientos establecidos por la Gobernación de Cundinamarca, fortaleciendo así el compromiso institucional.</w:t>
      </w:r>
    </w:p>
    <w:p w:rsidR="00D33F17" w:rsidRDefault="00080EDA">
      <w:pPr>
        <w:pStyle w:val="Ttulo2"/>
        <w:keepNext w:val="0"/>
        <w:widowControl/>
        <w:spacing w:before="200" w:line="360" w:lineRule="auto"/>
        <w:jc w:val="both"/>
        <w:rPr>
          <w:rFonts w:ascii="Century Gothic" w:eastAsia="Century Gothic" w:hAnsi="Century Gothic" w:cs="Century Gothic"/>
          <w:color w:val="00B0F0"/>
        </w:rPr>
      </w:pPr>
      <w:bookmarkStart w:id="1" w:name="_heading=h.vypuj59r1dv2" w:colFirst="0" w:colLast="0"/>
      <w:bookmarkEnd w:id="1"/>
      <w:r>
        <w:rPr>
          <w:rFonts w:ascii="Century Gothic" w:eastAsia="Century Gothic" w:hAnsi="Century Gothic" w:cs="Century Gothic"/>
          <w:color w:val="00B0F0"/>
        </w:rPr>
        <w:t>Objetivo General:</w:t>
      </w:r>
    </w:p>
    <w:p w:rsidR="00D33F17" w:rsidRDefault="00D33F17">
      <w:pPr>
        <w:spacing w:line="360" w:lineRule="auto"/>
        <w:jc w:val="both"/>
        <w:rPr>
          <w:rFonts w:ascii="Century Gothic" w:eastAsia="Century Gothic" w:hAnsi="Century Gothic" w:cs="Century Gothic"/>
          <w:sz w:val="22"/>
          <w:szCs w:val="22"/>
        </w:rPr>
      </w:pPr>
    </w:p>
    <w:p w:rsidR="00D33F17" w:rsidRDefault="00080EDA">
      <w:pPr>
        <w:spacing w:after="200" w:line="360"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Realizar un seguimiento integral a las estrategias implementadas por las Empresas Industriales y Comerciales del Departamento de Cundinamarca, con el fin de analizar su alineación, cumplimiento e impacto frente a los lineamientos establecidos en la Ordenanza Departamental emitida por la Gobernación, promoviendo el fortalecimiento del desarrollo industrial y comercial sostenible en la región.</w:t>
      </w:r>
    </w:p>
    <w:p w:rsidR="00D33F17" w:rsidRDefault="00080EDA">
      <w:pPr>
        <w:pStyle w:val="Ttulo2"/>
        <w:keepNext w:val="0"/>
        <w:widowControl/>
        <w:spacing w:before="200" w:line="360" w:lineRule="auto"/>
        <w:jc w:val="both"/>
        <w:rPr>
          <w:rFonts w:ascii="Century Gothic" w:eastAsia="Century Gothic" w:hAnsi="Century Gothic" w:cs="Century Gothic"/>
          <w:color w:val="00B0F0"/>
        </w:rPr>
      </w:pPr>
      <w:r>
        <w:rPr>
          <w:rFonts w:ascii="Century Gothic" w:eastAsia="Century Gothic" w:hAnsi="Century Gothic" w:cs="Century Gothic"/>
          <w:color w:val="00B0F0"/>
        </w:rPr>
        <w:t>Metodología:</w:t>
      </w:r>
    </w:p>
    <w:p w:rsidR="00D33F17" w:rsidRDefault="00D33F17"/>
    <w:p w:rsidR="00D33F17" w:rsidRDefault="00080EDA">
      <w:pPr>
        <w:spacing w:after="200" w:line="360"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 información fue recopilada a través de reportes entregados por cada empresa, en articulación con los enlaces designados para el seguimiento al PDD. Se revisaron los indicadores asociados a cada estrategia, contrastando los avances físicos  frente a las metas programadas para el período evaluado.</w:t>
      </w:r>
    </w:p>
    <w:p w:rsidR="00D33F17" w:rsidRDefault="00D33F17">
      <w:pPr>
        <w:spacing w:after="200" w:line="360" w:lineRule="auto"/>
        <w:jc w:val="both"/>
        <w:rPr>
          <w:rFonts w:ascii="Century Gothic" w:eastAsia="Century Gothic" w:hAnsi="Century Gothic" w:cs="Century Gothic"/>
          <w:color w:val="002060"/>
          <w:sz w:val="22"/>
          <w:szCs w:val="22"/>
        </w:rPr>
      </w:pPr>
    </w:p>
    <w:p w:rsidR="00D33F17" w:rsidRDefault="00D33F17">
      <w:pPr>
        <w:spacing w:after="200" w:line="360" w:lineRule="auto"/>
        <w:jc w:val="both"/>
        <w:rPr>
          <w:rFonts w:ascii="Century Gothic" w:eastAsia="Century Gothic" w:hAnsi="Century Gothic" w:cs="Century Gothic"/>
          <w:color w:val="002060"/>
          <w:sz w:val="22"/>
          <w:szCs w:val="22"/>
        </w:rPr>
      </w:pPr>
    </w:p>
    <w:p w:rsidR="00D33F17" w:rsidRDefault="00D33F17">
      <w:pPr>
        <w:spacing w:after="200" w:line="360" w:lineRule="auto"/>
        <w:jc w:val="both"/>
        <w:rPr>
          <w:rFonts w:ascii="Century Gothic" w:eastAsia="Century Gothic" w:hAnsi="Century Gothic" w:cs="Century Gothic"/>
          <w:color w:val="002060"/>
          <w:sz w:val="22"/>
          <w:szCs w:val="22"/>
        </w:rPr>
      </w:pPr>
    </w:p>
    <w:p w:rsidR="00D33F17" w:rsidRDefault="00080EDA">
      <w:pPr>
        <w:pStyle w:val="Ttulo2"/>
        <w:keepNext w:val="0"/>
        <w:widowControl/>
        <w:spacing w:before="200" w:line="360" w:lineRule="auto"/>
        <w:jc w:val="both"/>
        <w:rPr>
          <w:rFonts w:ascii="Century Gothic" w:eastAsia="Century Gothic" w:hAnsi="Century Gothic" w:cs="Century Gothic"/>
          <w:color w:val="00B0F0"/>
        </w:rPr>
      </w:pPr>
      <w:bookmarkStart w:id="2" w:name="_heading=h.3pwacnfrt7hx" w:colFirst="0" w:colLast="0"/>
      <w:bookmarkEnd w:id="2"/>
      <w:r>
        <w:rPr>
          <w:rFonts w:ascii="Century Gothic" w:eastAsia="Century Gothic" w:hAnsi="Century Gothic" w:cs="Century Gothic"/>
          <w:color w:val="00B0F0"/>
        </w:rPr>
        <w:lastRenderedPageBreak/>
        <w:t>Desarrollo del informe:</w:t>
      </w:r>
    </w:p>
    <w:p w:rsidR="00D33F17" w:rsidRDefault="00080EDA">
      <w:pPr>
        <w:spacing w:before="240" w:after="240" w:line="360"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En esta sección se presenta el estado de avance de las estrategias del Plan de Desarrollo Departamental a cargo de las Empresas Industriales y Comerciales del Estado de Cundinamarca, entre las cuales se incluyen: </w:t>
      </w:r>
      <w:r>
        <w:rPr>
          <w:rFonts w:ascii="Century Gothic" w:eastAsia="Century Gothic" w:hAnsi="Century Gothic" w:cs="Century Gothic"/>
          <w:b/>
          <w:bCs/>
          <w:color w:val="002060"/>
          <w:sz w:val="22"/>
          <w:szCs w:val="22"/>
        </w:rPr>
        <w:t>Empresas Públicas de Cundinamarca S.A. ESP, Empresa Inmobiliaria y de Servicios Logísticos de Cundinamarca, Empresa Férrea Regional, Empresa de Licores de Cundinamarca, Empresa Industrial y Comercial Lotería de Cundinamarca y el Fondo de Desarrollo de Proyectos de Cundinamarca – FONDECUN</w:t>
      </w:r>
      <w:r>
        <w:rPr>
          <w:rFonts w:ascii="Century Gothic" w:eastAsia="Century Gothic" w:hAnsi="Century Gothic" w:cs="Century Gothic"/>
          <w:color w:val="002060"/>
          <w:sz w:val="22"/>
          <w:szCs w:val="22"/>
        </w:rPr>
        <w:t>. Para cada entidad, se detallan las metas asignadas, los resultados obtenidos en el período evaluado, los avances físicos y financieros, así como los principales logros, desafíos y recomendaciones identificadas en el proceso de seguimiento. La información aquí consignada permite valorar el nivel de cumplimiento y orientar acciones de mejora para asegurar el desarrollo efectivo de las estrategias institucionales.</w:t>
      </w:r>
    </w:p>
    <w:p w:rsidR="00D33F17" w:rsidRDefault="00D33F17">
      <w:pPr>
        <w:pStyle w:val="Ttulo2"/>
        <w:keepNext w:val="0"/>
        <w:widowControl/>
        <w:spacing w:before="200" w:line="211" w:lineRule="auto"/>
        <w:jc w:val="both"/>
        <w:rPr>
          <w:rFonts w:ascii="Century Gothic" w:eastAsia="Century Gothic" w:hAnsi="Century Gothic" w:cs="Century Gothic"/>
          <w:color w:val="4F81BD"/>
          <w:sz w:val="22"/>
          <w:szCs w:val="22"/>
        </w:rPr>
      </w:pPr>
      <w:bookmarkStart w:id="3" w:name="_heading=h.cbojo2dw57ja" w:colFirst="0" w:colLast="0"/>
      <w:bookmarkEnd w:id="3"/>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080EDA">
      <w:pPr>
        <w:rPr>
          <w:rFonts w:ascii="Century Gothic" w:eastAsia="Century Gothic" w:hAnsi="Century Gothic" w:cs="Century Gothic"/>
        </w:rPr>
      </w:pPr>
      <w:r>
        <w:rPr>
          <w:noProof/>
        </w:rPr>
        <w:lastRenderedPageBreak/>
        <w:drawing>
          <wp:anchor distT="0" distB="0" distL="0" distR="0" simplePos="0" relativeHeight="251659264" behindDoc="1" locked="0" layoutInCell="1" hidden="0" allowOverlap="1">
            <wp:simplePos x="0" y="0"/>
            <wp:positionH relativeFrom="column">
              <wp:posOffset>-1053464</wp:posOffset>
            </wp:positionH>
            <wp:positionV relativeFrom="paragraph">
              <wp:posOffset>-1001393</wp:posOffset>
            </wp:positionV>
            <wp:extent cx="7706995" cy="10062210"/>
            <wp:effectExtent l="0" t="0" r="0" b="0"/>
            <wp:wrapNone/>
            <wp:docPr id="2048110475" name="image7.png"/>
            <wp:cNvGraphicFramePr/>
            <a:graphic xmlns:a="http://schemas.openxmlformats.org/drawingml/2006/main">
              <a:graphicData uri="http://schemas.openxmlformats.org/drawingml/2006/picture">
                <pic:pic xmlns:pic="http://schemas.openxmlformats.org/drawingml/2006/picture">
                  <pic:nvPicPr>
                    <pic:cNvPr id="0" name="image7.png"/>
                    <pic:cNvPicPr preferRelativeResize="0"/>
                  </pic:nvPicPr>
                  <pic:blipFill>
                    <a:blip r:embed="rId9"/>
                    <a:srcRect/>
                    <a:stretch>
                      <a:fillRect/>
                    </a:stretch>
                  </pic:blipFill>
                  <pic:spPr>
                    <a:xfrm>
                      <a:off x="0" y="0"/>
                      <a:ext cx="7706995" cy="10062210"/>
                    </a:xfrm>
                    <a:prstGeom prst="rect">
                      <a:avLst/>
                    </a:prstGeom>
                    <a:ln/>
                  </pic:spPr>
                </pic:pic>
              </a:graphicData>
            </a:graphic>
          </wp:anchor>
        </w:drawing>
      </w: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D33F17">
      <w:pPr>
        <w:rPr>
          <w:rFonts w:ascii="Century Gothic" w:eastAsia="Century Gothic" w:hAnsi="Century Gothic" w:cs="Century Gothic"/>
        </w:rPr>
      </w:pPr>
    </w:p>
    <w:p w:rsidR="00D33F17" w:rsidRDefault="00080EDA">
      <w:pPr>
        <w:shd w:val="clear" w:color="auto" w:fill="FFFFFF"/>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Las Empresas Públicas de Cundinamarca – EPC avanza en la implementación de las estrategias definidas en el Plan de Desarrollo Departamental (PDD) y su Plan Estratégico para el período 2024-2025. El presente informe consolida los avances, logros y desafíos identificados al cierre del primer semestre de 2025, con el fin de analizar el cumplimiento de los objetivos corporativos y orientar la toma de decisiones.</w:t>
      </w:r>
    </w:p>
    <w:p w:rsidR="00D33F17" w:rsidRDefault="00080EDA">
      <w:pPr>
        <w:shd w:val="clear" w:color="auto" w:fill="FFFFFF"/>
        <w:spacing w:before="240" w:after="240"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EPC se ha trazado los siguientes retos para el cuatrienio:</w:t>
      </w:r>
    </w:p>
    <w:p w:rsidR="00D33F17" w:rsidRDefault="00080EDA">
      <w:pPr>
        <w:numPr>
          <w:ilvl w:val="0"/>
          <w:numId w:val="7"/>
        </w:numPr>
        <w:shd w:val="clear" w:color="auto" w:fill="FFFFFF"/>
        <w:spacing w:before="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Lograr la sostenibilidad de las empresas en las que EPC es socio.</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Mejorar los tiempos de respuesta a los requerimientos de los municipios en temas de desabastecimiento de agua.</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Fortalecer y desarrollar sistemas de información para la toma oportuna de decisiones.</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Proponer cambios en las políticas gubernamentales que afecten la gestión de los recursos.</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Asegurar la calidad de las obras entregadas a través de la correcta supervisión a la ejecución. </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lastRenderedPageBreak/>
        <w:t xml:space="preserve">Vincular en el portafolio de servicios de la entidad los servicios de conservación, protección y restauración de predios de las entidades territoriales. En virtud del artículo 111 de la Ley 99 de 1993 y como medida para la adaptación al cambio climático. </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Priorizar y ejecutar alternativas de mejoramiento en la prestación del servicio de aseo a través de la recolección y transporte de residuos sólidos y Respel.</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Ejecutar acciones que promuevan el aprovechamiento y tratamiento de residuos sólidos y Respel, con la implementación de dos (2) parque tecnológico.</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Generar acuerdos que permitan el desarrollo de alternativas de aprovechamiento de residuos orgánicos con la implementación de biodigestores.</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Establecimiento de energías alternativas en zonas rurales del Departamento.</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Convertirse en socio demás prestadores directos e indirectos en el departamento.</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Diversificar el portafolio de EPC mediante la operación de los servicios de Laboratorio para el análisis del agua, recolección de basuras y comercialización de energía fotovoltaica, alquiler de vehículos carro tanques y equipos succión presión, entre otros. </w:t>
      </w:r>
    </w:p>
    <w:p w:rsidR="00D33F17" w:rsidRDefault="00080EDA">
      <w:pPr>
        <w:numPr>
          <w:ilvl w:val="0"/>
          <w:numId w:val="7"/>
        </w:numP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Ser una empresa prestadora de servicios públicos a nivel departamental y nacional.</w:t>
      </w:r>
    </w:p>
    <w:p w:rsidR="00D33F17" w:rsidRDefault="00D33F17">
      <w:pPr>
        <w:shd w:val="clear" w:color="auto" w:fill="FFFFFF"/>
        <w:spacing w:line="276" w:lineRule="auto"/>
        <w:ind w:left="720"/>
        <w:jc w:val="both"/>
        <w:rPr>
          <w:rFonts w:ascii="Century Gothic" w:eastAsia="Century Gothic" w:hAnsi="Century Gothic" w:cs="Century Gothic"/>
          <w:color w:val="002060"/>
          <w:sz w:val="22"/>
          <w:szCs w:val="22"/>
        </w:rPr>
      </w:pPr>
    </w:p>
    <w:tbl>
      <w:tblPr>
        <w:tblStyle w:val="a"/>
        <w:tblW w:w="8354" w:type="dxa"/>
        <w:jc w:val="center"/>
        <w:tblInd w:w="0" w:type="dxa"/>
        <w:tblLayout w:type="fixed"/>
        <w:tblLook w:val="0400" w:firstRow="0" w:lastRow="0" w:firstColumn="0" w:lastColumn="0" w:noHBand="0" w:noVBand="1"/>
      </w:tblPr>
      <w:tblGrid>
        <w:gridCol w:w="2825"/>
        <w:gridCol w:w="3119"/>
        <w:gridCol w:w="2410"/>
      </w:tblGrid>
      <w:tr w:rsidR="00D33F17">
        <w:trPr>
          <w:trHeight w:val="460"/>
          <w:jc w:val="center"/>
        </w:trPr>
        <w:tc>
          <w:tcPr>
            <w:tcW w:w="835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t>Empresas Públicas de Cundinamarca S.A ESP</w:t>
            </w:r>
          </w:p>
        </w:tc>
      </w:tr>
      <w:tr w:rsidR="00D33F17">
        <w:trPr>
          <w:trHeight w:val="675"/>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trPr>
          <w:trHeight w:val="89"/>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36"/>
                <w:szCs w:val="36"/>
              </w:rPr>
            </w:pPr>
            <w:r>
              <w:rPr>
                <w:rFonts w:ascii="Century Gothic" w:eastAsia="Century Gothic" w:hAnsi="Century Gothic" w:cs="Century Gothic"/>
                <w:b/>
                <w:bCs/>
                <w:color w:val="002060"/>
                <w:sz w:val="26"/>
                <w:szCs w:val="26"/>
              </w:rPr>
              <w:t>10</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6</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4</w:t>
            </w:r>
          </w:p>
        </w:tc>
      </w:tr>
    </w:tbl>
    <w:p w:rsidR="00D33F17" w:rsidRDefault="00D33F17">
      <w:pPr>
        <w:shd w:val="clear" w:color="auto" w:fill="FFFFFF"/>
        <w:spacing w:after="240"/>
        <w:jc w:val="both"/>
        <w:rPr>
          <w:b/>
          <w:bCs/>
          <w:color w:val="4F81BD"/>
          <w:sz w:val="22"/>
          <w:szCs w:val="22"/>
        </w:rPr>
      </w:pPr>
    </w:p>
    <w:p w:rsidR="00D33F17" w:rsidRDefault="00D33F17">
      <w:pPr>
        <w:shd w:val="clear" w:color="auto" w:fill="FFFFFF"/>
        <w:spacing w:after="240" w:line="276" w:lineRule="auto"/>
        <w:ind w:left="360"/>
        <w:jc w:val="center"/>
        <w:rPr>
          <w:b/>
          <w:bCs/>
          <w:color w:val="4F81BD"/>
          <w:sz w:val="22"/>
          <w:szCs w:val="22"/>
        </w:rPr>
      </w:pPr>
    </w:p>
    <w:p w:rsidR="00D33F17" w:rsidRDefault="00080EDA">
      <w:pPr>
        <w:shd w:val="clear" w:color="auto" w:fill="FFFFFF"/>
        <w:spacing w:after="240" w:line="276" w:lineRule="auto"/>
        <w:ind w:left="360"/>
        <w:jc w:val="center"/>
        <w:rPr>
          <w:rFonts w:ascii="Century Gothic" w:eastAsia="Century Gothic" w:hAnsi="Century Gothic" w:cs="Century Gothic"/>
          <w:b/>
          <w:bCs/>
          <w:color w:val="00B0F0"/>
          <w:sz w:val="28"/>
          <w:szCs w:val="28"/>
        </w:rPr>
      </w:pPr>
      <w:r>
        <w:rPr>
          <w:rFonts w:ascii="Century Gothic" w:eastAsia="Century Gothic" w:hAnsi="Century Gothic" w:cs="Century Gothic"/>
          <w:b/>
          <w:bCs/>
          <w:color w:val="00B0F0"/>
          <w:sz w:val="28"/>
          <w:szCs w:val="28"/>
        </w:rPr>
        <w:t>ESTRATEGIAS:</w:t>
      </w:r>
    </w:p>
    <w:p w:rsidR="00D33F17" w:rsidRDefault="00D33F17">
      <w:pPr>
        <w:tabs>
          <w:tab w:val="left" w:pos="5008"/>
        </w:tabs>
        <w:spacing w:line="276" w:lineRule="auto"/>
        <w:jc w:val="both"/>
        <w:rPr>
          <w:rFonts w:ascii="Century Gothic" w:eastAsia="Century Gothic" w:hAnsi="Century Gothic" w:cs="Century Gothic"/>
          <w:b/>
          <w:bCs/>
          <w:color w:val="4F81BD"/>
          <w:sz w:val="22"/>
          <w:szCs w:val="22"/>
        </w:rPr>
      </w:pPr>
    </w:p>
    <w:p w:rsidR="00D33F17" w:rsidRDefault="00080EDA">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color w:val="0070C0"/>
          <w:sz w:val="24"/>
          <w:szCs w:val="24"/>
        </w:rPr>
      </w:pPr>
      <w:r>
        <w:rPr>
          <w:rFonts w:ascii="Century Gothic" w:eastAsia="Century Gothic" w:hAnsi="Century Gothic" w:cs="Century Gothic"/>
          <w:color w:val="0070C0"/>
          <w:sz w:val="24"/>
          <w:szCs w:val="24"/>
        </w:rPr>
        <w:t>Mejorar los indicadores de gestión de las empresas en las que EPC tiene participación accionaria.</w:t>
      </w:r>
    </w:p>
    <w:p w:rsidR="00D33F17" w:rsidRDefault="00D33F17">
      <w:pPr>
        <w:tabs>
          <w:tab w:val="left" w:pos="5008"/>
        </w:tabs>
        <w:spacing w:line="276" w:lineRule="auto"/>
        <w:jc w:val="both"/>
        <w:rPr>
          <w:rFonts w:ascii="Century Gothic" w:eastAsia="Century Gothic" w:hAnsi="Century Gothic" w:cs="Century Gothic"/>
          <w:b/>
          <w:bCs/>
          <w:color w:val="4F81BD"/>
          <w:sz w:val="22"/>
          <w:szCs w:val="22"/>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Lograr la sostenibilidad de las empresas en las que EPC es socio.</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 xml:space="preserve">Actividad: </w:t>
      </w:r>
      <w:r>
        <w:rPr>
          <w:rFonts w:ascii="Century Gothic" w:eastAsia="Century Gothic" w:hAnsi="Century Gothic" w:cs="Century Gothic"/>
          <w:color w:val="002060"/>
          <w:sz w:val="22"/>
          <w:szCs w:val="22"/>
        </w:rPr>
        <w:t>Implementar una metodología para el mejoramiento de la operación</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tbl>
      <w:tblPr>
        <w:tblStyle w:val="a0"/>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 xml:space="preserve"> 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0,4</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r>
    </w:tbl>
    <w:p w:rsidR="00D33F17" w:rsidRDefault="00D33F17">
      <w:pPr>
        <w:pBdr>
          <w:top w:val="nil"/>
          <w:left w:val="nil"/>
          <w:bottom w:val="nil"/>
          <w:right w:val="nil"/>
          <w:between w:val="nil"/>
        </w:pBdr>
        <w:rPr>
          <w:rFonts w:ascii="Helvetica Neue" w:eastAsia="Helvetica Neue" w:hAnsi="Helvetica Neue" w:cs="Helvetica Neue"/>
          <w:color w:val="000000"/>
          <w:sz w:val="18"/>
          <w:szCs w:val="18"/>
        </w:rPr>
      </w:pPr>
    </w:p>
    <w:p w:rsidR="00D33F17" w:rsidRDefault="00D33F17">
      <w:pPr>
        <w:tabs>
          <w:tab w:val="left" w:pos="5008"/>
        </w:tabs>
        <w:spacing w:line="276" w:lineRule="auto"/>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10%</w:t>
      </w:r>
      <w:r>
        <w:rPr>
          <w:rFonts w:ascii="Century Gothic" w:eastAsia="Century Gothic" w:hAnsi="Century Gothic" w:cs="Century Gothic"/>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0,4</w:t>
      </w:r>
    </w:p>
    <w:p w:rsidR="00D33F17" w:rsidRDefault="00080EDA">
      <w:pPr>
        <w:shd w:val="clear" w:color="auto" w:fill="FFFFFF"/>
        <w:tabs>
          <w:tab w:val="left" w:pos="5008"/>
        </w:tabs>
        <w:spacing w:before="240" w:after="600" w:line="276" w:lineRule="auto"/>
        <w:ind w:right="660"/>
        <w:jc w:val="both"/>
        <w:rPr>
          <w:rFonts w:ascii="Quattrocento Sans" w:eastAsia="Quattrocento Sans" w:hAnsi="Quattrocento Sans" w:cs="Quattrocento Sans"/>
          <w:color w:val="0F1115"/>
          <w:highlight w:val="white"/>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adelantó un proceso integral de fortalecimiento para las empresas socias de EPC (JENAGUAS, EMPANDI y la Empresa de Servicios Públicos de Viotá), que incluyó la realización de diagnósticos, la formulación de planes de acción y el acompañamiento técnico para su implementación. Como resultado, se consolidaron avances en los procesos de facturación, control financiero, indexación tarifaria y cumplimiento de reportes regulatorios. Asimismo, se registraron progresos significativos en la elaboración de manuales de gestión operativa, comercial, contractual y corporativa, orientados a estandarizar procedimientos y a fortalecer la eficiencia y sostenibilidad de la operación empresarial.</w:t>
      </w:r>
    </w:p>
    <w:p w:rsidR="00D33F17" w:rsidRDefault="00D33F17">
      <w:pPr>
        <w:shd w:val="clear" w:color="auto" w:fill="FFFFFF"/>
        <w:tabs>
          <w:tab w:val="left" w:pos="5008"/>
        </w:tabs>
        <w:spacing w:before="240" w:after="600" w:line="276" w:lineRule="auto"/>
        <w:ind w:right="660"/>
        <w:jc w:val="both"/>
        <w:rPr>
          <w:rFonts w:ascii="Century Gothic" w:eastAsia="Century Gothic" w:hAnsi="Century Gothic" w:cs="Century Gothic"/>
          <w:color w:val="002060"/>
          <w:sz w:val="24"/>
          <w:szCs w:val="24"/>
        </w:rPr>
      </w:pPr>
    </w:p>
    <w:p w:rsidR="00D33F17" w:rsidRDefault="00080EDA">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color w:val="0070C0"/>
          <w:sz w:val="24"/>
          <w:szCs w:val="24"/>
        </w:rPr>
      </w:pPr>
      <w:bookmarkStart w:id="4" w:name="_heading=h.4jypk5ktug8h" w:colFirst="0" w:colLast="0"/>
      <w:bookmarkEnd w:id="4"/>
      <w:r>
        <w:rPr>
          <w:rFonts w:ascii="Century Gothic" w:eastAsia="Century Gothic" w:hAnsi="Century Gothic" w:cs="Century Gothic"/>
          <w:color w:val="0070C0"/>
          <w:sz w:val="24"/>
          <w:szCs w:val="24"/>
        </w:rPr>
        <w:t>Ampliar la capacidad instalada en emergencias</w:t>
      </w:r>
    </w:p>
    <w:p w:rsidR="00D33F17" w:rsidRDefault="00D33F17"/>
    <w:p w:rsidR="00D33F17" w:rsidRDefault="00080EDA">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b w:val="0"/>
          <w:bCs w:val="0"/>
          <w:color w:val="002060"/>
          <w:sz w:val="22"/>
          <w:szCs w:val="22"/>
        </w:rPr>
      </w:pPr>
      <w:bookmarkStart w:id="5" w:name="_heading=h.8cm3bwepafyl" w:colFirst="0" w:colLast="0"/>
      <w:bookmarkEnd w:id="5"/>
      <w:r>
        <w:rPr>
          <w:rFonts w:ascii="Century Gothic" w:eastAsia="Century Gothic" w:hAnsi="Century Gothic" w:cs="Century Gothic"/>
          <w:color w:val="002060"/>
          <w:sz w:val="22"/>
          <w:szCs w:val="22"/>
        </w:rPr>
        <w:t xml:space="preserve">Reto: </w:t>
      </w:r>
      <w:r>
        <w:rPr>
          <w:rFonts w:ascii="Century Gothic" w:eastAsia="Century Gothic" w:hAnsi="Century Gothic" w:cs="Century Gothic"/>
          <w:b w:val="0"/>
          <w:bCs w:val="0"/>
          <w:color w:val="002060"/>
          <w:sz w:val="22"/>
          <w:szCs w:val="22"/>
        </w:rPr>
        <w:t>Mejorar los tiempos de respuesta a los requerimientos de los municipios en temas de desabastecimiento de agua.</w:t>
      </w:r>
    </w:p>
    <w:p w:rsidR="00D33F17" w:rsidRDefault="00D33F17"/>
    <w:p w:rsidR="00D33F17" w:rsidRDefault="00080EDA">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Formular, aprobar y ejecutar el plan de gestión del riesgo.</w:t>
      </w:r>
    </w:p>
    <w:p w:rsidR="00D33F17" w:rsidRDefault="00D33F17"/>
    <w:tbl>
      <w:tblPr>
        <w:tblStyle w:val="a1"/>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bookmarkStart w:id="6" w:name="_heading=h.9hwxckufl3op" w:colFirst="0" w:colLast="0"/>
      <w:bookmarkEnd w:id="6"/>
      <w:r>
        <w:rPr>
          <w:rFonts w:ascii="Century Gothic" w:eastAsia="Century Gothic" w:hAnsi="Century Gothic" w:cs="Century Gothic"/>
          <w:b/>
          <w:bCs/>
          <w:color w:val="002060"/>
          <w:sz w:val="22"/>
          <w:szCs w:val="22"/>
        </w:rPr>
        <w:t>Avance acumulado: 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080EDA">
      <w:pPr>
        <w:shd w:val="clear" w:color="auto" w:fill="FFFFFF"/>
        <w:tabs>
          <w:tab w:val="left" w:pos="5008"/>
        </w:tabs>
        <w:spacing w:before="240" w:after="600" w:line="276" w:lineRule="auto"/>
        <w:ind w:right="660"/>
        <w:jc w:val="both"/>
        <w:rPr>
          <w:rFonts w:ascii="Century Gothic" w:eastAsia="Century Gothic" w:hAnsi="Century Gothic" w:cs="Century Gothic"/>
          <w:color w:val="002060"/>
          <w:sz w:val="24"/>
          <w:szCs w:val="24"/>
        </w:rPr>
      </w:pPr>
      <w:bookmarkStart w:id="7" w:name="_heading=h.597ugle1fqqg" w:colFirst="0" w:colLast="0"/>
      <w:bookmarkEnd w:id="7"/>
      <w:r>
        <w:rPr>
          <w:rFonts w:ascii="Century Gothic" w:eastAsia="Century Gothic" w:hAnsi="Century Gothic" w:cs="Century Gothic"/>
          <w:b/>
          <w:bCs/>
          <w:color w:val="002060"/>
          <w:sz w:val="22"/>
          <w:szCs w:val="22"/>
        </w:rPr>
        <w:lastRenderedPageBreak/>
        <w:t xml:space="preserve">¿Qué se ha hecho?: </w:t>
      </w:r>
      <w:r>
        <w:rPr>
          <w:rFonts w:ascii="Century Gothic" w:eastAsia="Century Gothic" w:hAnsi="Century Gothic" w:cs="Century Gothic"/>
          <w:color w:val="002060"/>
          <w:sz w:val="22"/>
          <w:szCs w:val="22"/>
        </w:rPr>
        <w:t>Se presentó ante el Ministerio de Vivienda, Ciudad y Territorio la modificación del Plan de Gestión del Riesgo Sectorial, con el fin de incorporar la adquisición de tres equipos hidrojet, un vehículo de succión-presión y un vehículo compactador. Esta gestión busca ampliar la capacidad instalada para la atención de emergencias y fortalecer la respuesta operativa del sector.</w:t>
      </w:r>
    </w:p>
    <w:p w:rsidR="00D33F17" w:rsidRDefault="00080EDA">
      <w:pPr>
        <w:shd w:val="clear" w:color="auto" w:fill="FFFFFF"/>
        <w:tabs>
          <w:tab w:val="left" w:pos="5008"/>
        </w:tabs>
        <w:spacing w:before="240" w:after="600"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Adquirir Software y/o sistema que permita hacer seguimiento a la ejecución de metas y proyectos desde los componentes técnico administrativo jurídico y contable y financiero</w:t>
      </w:r>
    </w:p>
    <w:p w:rsidR="00D33F17" w:rsidRDefault="00080EDA">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b w:val="0"/>
          <w:bCs w:val="0"/>
          <w:color w:val="002060"/>
          <w:sz w:val="22"/>
          <w:szCs w:val="22"/>
        </w:rPr>
      </w:pPr>
      <w:r>
        <w:rPr>
          <w:rFonts w:ascii="Century Gothic" w:eastAsia="Century Gothic" w:hAnsi="Century Gothic" w:cs="Century Gothic"/>
          <w:color w:val="002060"/>
          <w:sz w:val="22"/>
          <w:szCs w:val="22"/>
        </w:rPr>
        <w:t xml:space="preserve">Reto: </w:t>
      </w:r>
      <w:r>
        <w:rPr>
          <w:rFonts w:ascii="Century Gothic" w:eastAsia="Century Gothic" w:hAnsi="Century Gothic" w:cs="Century Gothic"/>
          <w:b w:val="0"/>
          <w:bCs w:val="0"/>
          <w:color w:val="002060"/>
          <w:sz w:val="22"/>
          <w:szCs w:val="22"/>
        </w:rPr>
        <w:t>Fortalecimiento y desarrollo de sistemas de información para toma oportuna de decisiones</w:t>
      </w:r>
    </w:p>
    <w:p w:rsidR="00D33F17" w:rsidRDefault="00D33F17"/>
    <w:p w:rsidR="00D33F17" w:rsidRDefault="00080EDA">
      <w:pP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Implementar una herramienta tecnológica que permita la interacción, control y seguimiento de los datos.</w:t>
      </w:r>
    </w:p>
    <w:p w:rsidR="00D33F17" w:rsidRDefault="00D33F17">
      <w:pPr>
        <w:tabs>
          <w:tab w:val="left" w:pos="5008"/>
        </w:tabs>
        <w:spacing w:line="276" w:lineRule="auto"/>
        <w:rPr>
          <w:rFonts w:ascii="Century Gothic" w:eastAsia="Century Gothic" w:hAnsi="Century Gothic" w:cs="Century Gothic"/>
          <w:color w:val="002060"/>
        </w:rPr>
      </w:pPr>
    </w:p>
    <w:tbl>
      <w:tblPr>
        <w:tblStyle w:val="a2"/>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0,70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tabs>
          <w:tab w:val="left" w:pos="5008"/>
        </w:tabs>
        <w:spacing w:line="276" w:lineRule="auto"/>
        <w:rPr>
          <w:rFonts w:ascii="Century Gothic" w:eastAsia="Century Gothic" w:hAnsi="Century Gothic" w:cs="Century Gothic"/>
          <w:color w:val="002060"/>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bookmarkStart w:id="8" w:name="_heading=h.fwjrqe5rtkb" w:colFirst="0" w:colLast="0"/>
      <w:bookmarkEnd w:id="8"/>
      <w:r>
        <w:rPr>
          <w:rFonts w:ascii="Century Gothic" w:eastAsia="Century Gothic" w:hAnsi="Century Gothic" w:cs="Century Gothic"/>
          <w:b/>
          <w:bCs/>
          <w:color w:val="002060"/>
          <w:sz w:val="22"/>
          <w:szCs w:val="22"/>
        </w:rPr>
        <w:t>Avance acumulado: 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D33F17">
      <w:pPr>
        <w:tabs>
          <w:tab w:val="left" w:pos="5008"/>
        </w:tabs>
        <w:spacing w:line="276" w:lineRule="auto"/>
        <w:rPr>
          <w:rFonts w:ascii="Century Gothic" w:eastAsia="Century Gothic" w:hAnsi="Century Gothic" w:cs="Century Gothic"/>
          <w:color w:val="002060"/>
        </w:rPr>
      </w:pPr>
    </w:p>
    <w:p w:rsidR="00D33F17" w:rsidRDefault="00080EDA">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b w:val="0"/>
          <w:bCs w:val="0"/>
          <w:color w:val="002060"/>
          <w:sz w:val="24"/>
          <w:szCs w:val="24"/>
        </w:rPr>
      </w:pPr>
      <w:bookmarkStart w:id="9" w:name="_heading=h.cyf2xppo147r" w:colFirst="0" w:colLast="0"/>
      <w:bookmarkEnd w:id="9"/>
      <w:r>
        <w:rPr>
          <w:rFonts w:ascii="Century Gothic" w:eastAsia="Century Gothic" w:hAnsi="Century Gothic" w:cs="Century Gothic"/>
          <w:color w:val="002060"/>
          <w:sz w:val="22"/>
          <w:szCs w:val="22"/>
        </w:rPr>
        <w:t xml:space="preserve">¿Qué se ha hecho?: </w:t>
      </w:r>
      <w:r>
        <w:rPr>
          <w:rFonts w:ascii="Century Gothic" w:eastAsia="Century Gothic" w:hAnsi="Century Gothic" w:cs="Century Gothic"/>
          <w:b w:val="0"/>
          <w:bCs w:val="0"/>
          <w:color w:val="002060"/>
          <w:sz w:val="22"/>
          <w:szCs w:val="22"/>
        </w:rPr>
        <w:t>Se avanzó desde la fase de diseño de la solución tecnológica hasta el inicio del proceso de contratación para el desarrollo e implementación del sistema de información de proyectos, consolidando así el progreso hacia una herramienta que optimice la gestión y el seguimiento institucional.</w:t>
      </w:r>
    </w:p>
    <w:p w:rsidR="00D33F17" w:rsidRDefault="00D33F17">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color w:val="4F81BD"/>
        </w:rPr>
      </w:pPr>
      <w:bookmarkStart w:id="10" w:name="_heading=h.rgx8oab2y2u0" w:colFirst="0" w:colLast="0"/>
      <w:bookmarkEnd w:id="10"/>
    </w:p>
    <w:p w:rsidR="00D33F17" w:rsidRDefault="00080EDA">
      <w:pPr>
        <w:tabs>
          <w:tab w:val="left" w:pos="5008"/>
        </w:tabs>
        <w:spacing w:line="276" w:lineRule="auto"/>
        <w:rPr>
          <w:rFonts w:ascii="Century Gothic" w:eastAsia="Century Gothic" w:hAnsi="Century Gothic" w:cs="Century Gothic"/>
          <w:b/>
          <w:bCs/>
          <w:color w:val="0070C0"/>
          <w:sz w:val="24"/>
          <w:szCs w:val="24"/>
        </w:rPr>
      </w:pPr>
      <w:bookmarkStart w:id="11" w:name="_heading=h.ef5atrbjjjpm" w:colFirst="0" w:colLast="0"/>
      <w:bookmarkEnd w:id="11"/>
      <w:r>
        <w:rPr>
          <w:rFonts w:ascii="Century Gothic" w:eastAsia="Century Gothic" w:hAnsi="Century Gothic" w:cs="Century Gothic"/>
          <w:b/>
          <w:bCs/>
          <w:color w:val="0070C0"/>
          <w:sz w:val="24"/>
          <w:szCs w:val="24"/>
        </w:rPr>
        <w:t>Implementar un instrumento de medición aplicando la normatividad del modelo integrado de planeación y gestión MIPG, que sirva como herramienta de seguimiento evaluación y gestión para la toma de decisiones de la gerencia.</w:t>
      </w:r>
    </w:p>
    <w:p w:rsidR="00D33F17" w:rsidRDefault="00D33F17">
      <w:pPr>
        <w:tabs>
          <w:tab w:val="left" w:pos="5008"/>
        </w:tabs>
        <w:spacing w:line="276" w:lineRule="auto"/>
        <w:rPr>
          <w:rFonts w:ascii="Century Gothic" w:eastAsia="Century Gothic" w:hAnsi="Century Gothic" w:cs="Century Gothic"/>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bookmarkStart w:id="12" w:name="_heading=h.bdjm40c23xpn" w:colFirst="0" w:colLast="0"/>
      <w:bookmarkEnd w:id="12"/>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Fortalecimiento y desarrollo de sistemas de información para toma oportuna de decisiones.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Implementar una herramienta tecnológica que permita la interacción, control y seguimiento de los datos.</w:t>
      </w:r>
    </w:p>
    <w:p w:rsidR="00D33F17" w:rsidRDefault="00D33F17">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b w:val="0"/>
          <w:bCs w:val="0"/>
          <w:color w:val="002060"/>
          <w:sz w:val="22"/>
          <w:szCs w:val="22"/>
        </w:rPr>
      </w:pPr>
    </w:p>
    <w:tbl>
      <w:tblPr>
        <w:tblStyle w:val="a3"/>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0,70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080EDA">
      <w:pPr>
        <w:pStyle w:val="Ttulo3"/>
        <w:keepNext w:val="0"/>
        <w:shd w:val="clear" w:color="auto" w:fill="FFFFFF"/>
        <w:tabs>
          <w:tab w:val="left" w:pos="5008"/>
        </w:tabs>
        <w:spacing w:before="0" w:after="0" w:line="276" w:lineRule="auto"/>
        <w:ind w:right="660"/>
        <w:jc w:val="both"/>
        <w:rPr>
          <w:rFonts w:ascii="Century Gothic" w:eastAsia="Century Gothic" w:hAnsi="Century Gothic" w:cs="Century Gothic"/>
          <w:b w:val="0"/>
          <w:bCs w:val="0"/>
          <w:color w:val="002060"/>
          <w:sz w:val="22"/>
          <w:szCs w:val="22"/>
        </w:rPr>
      </w:pPr>
      <w:r>
        <w:rPr>
          <w:rFonts w:ascii="Century Gothic" w:eastAsia="Century Gothic" w:hAnsi="Century Gothic" w:cs="Century Gothic"/>
          <w:b w:val="0"/>
          <w:bCs w:val="0"/>
          <w:color w:val="002060"/>
          <w:sz w:val="22"/>
          <w:szCs w:val="22"/>
        </w:rPr>
        <w:br/>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bookmarkStart w:id="13" w:name="_heading=h.uweg8n30ckkn" w:colFirst="0" w:colLast="0"/>
      <w:bookmarkEnd w:id="13"/>
      <w:r>
        <w:rPr>
          <w:rFonts w:ascii="Century Gothic" w:eastAsia="Century Gothic" w:hAnsi="Century Gothic" w:cs="Century Gothic"/>
          <w:b/>
          <w:bCs/>
          <w:color w:val="002060"/>
          <w:sz w:val="22"/>
          <w:szCs w:val="22"/>
        </w:rPr>
        <w:t>Avance acumulado: 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D33F17">
      <w:pPr>
        <w:tabs>
          <w:tab w:val="left" w:pos="5008"/>
        </w:tabs>
        <w:spacing w:line="276" w:lineRule="auto"/>
        <w:ind w:left="720"/>
        <w:rPr>
          <w:rFonts w:ascii="Century Gothic" w:eastAsia="Century Gothic" w:hAnsi="Century Gothic" w:cs="Century Gothic"/>
          <w:color w:val="002060"/>
        </w:rPr>
      </w:pPr>
    </w:p>
    <w:p w:rsidR="00D33F17" w:rsidRDefault="00080EDA">
      <w:pPr>
        <w:shd w:val="clear" w:color="auto" w:fill="FFFFFF"/>
        <w:tabs>
          <w:tab w:val="left" w:pos="5008"/>
        </w:tabs>
        <w:spacing w:after="600"/>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4"/>
          <w:szCs w:val="24"/>
        </w:rPr>
        <w:t xml:space="preserve"> </w:t>
      </w:r>
      <w:r>
        <w:rPr>
          <w:rFonts w:ascii="Century Gothic" w:eastAsia="Century Gothic" w:hAnsi="Century Gothic" w:cs="Century Gothic"/>
          <w:color w:val="002060"/>
          <w:sz w:val="22"/>
          <w:szCs w:val="22"/>
        </w:rPr>
        <w:t>La iniciativa avanzó desde la fase de diseño de la solución tecnológica hasta el inicio del proceso de contratación para el desarrollo e implementación del sistema de información de proyectos, consolidando el progreso hacia una herramienta que permita mejorar la gestión y el seguimiento institucional.</w:t>
      </w:r>
    </w:p>
    <w:p w:rsidR="00D33F17" w:rsidRDefault="00080EDA">
      <w:pPr>
        <w:shd w:val="clear" w:color="auto" w:fill="FFFFFF"/>
        <w:tabs>
          <w:tab w:val="left" w:pos="5008"/>
        </w:tabs>
        <w:spacing w:after="600"/>
        <w:ind w:right="660"/>
        <w:jc w:val="both"/>
        <w:rPr>
          <w:rFonts w:ascii="Century Gothic" w:eastAsia="Century Gothic" w:hAnsi="Century Gothic" w:cs="Century Gothic"/>
          <w:color w:val="002060"/>
          <w:sz w:val="24"/>
          <w:szCs w:val="24"/>
        </w:rPr>
      </w:pPr>
      <w:r>
        <w:rPr>
          <w:rFonts w:ascii="Century Gothic" w:eastAsia="Century Gothic" w:hAnsi="Century Gothic" w:cs="Century Gothic"/>
          <w:b/>
          <w:bCs/>
          <w:color w:val="0070C0"/>
          <w:sz w:val="24"/>
          <w:szCs w:val="24"/>
        </w:rPr>
        <w:t>Estructurar el documento de reformulación financiera del plan departamental de agua y saneamiento básico de Cundinamarca y posteriormente formular un plan de inversiones  a largo plazo con los aportes del departamento y los municipios por los siguientes 20 años.</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Proponer cambios en las políticas gubernamentales que afecten la gestión los recursos.</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una nueva versión del modelo financiero para ampliar el Plan Departamental de Aguas hasta 2050</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p>
    <w:tbl>
      <w:tblPr>
        <w:tblStyle w:val="a4"/>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0,45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0,22</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49%</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0,52</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0,27</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52%</w:t>
            </w:r>
          </w:p>
        </w:tc>
      </w:tr>
    </w:tbl>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r>
        <w:rPr>
          <w:rFonts w:ascii="Century Gothic" w:eastAsia="Century Gothic" w:hAnsi="Century Gothic" w:cs="Century Gothic"/>
          <w:color w:val="002060"/>
          <w:sz w:val="22"/>
          <w:szCs w:val="22"/>
        </w:rPr>
        <w:br/>
      </w:r>
      <w:r>
        <w:rPr>
          <w:rFonts w:ascii="Century Gothic" w:eastAsia="Century Gothic" w:hAnsi="Century Gothic" w:cs="Century Gothic"/>
          <w:b/>
          <w:bCs/>
          <w:color w:val="002060"/>
          <w:sz w:val="22"/>
          <w:szCs w:val="22"/>
        </w:rPr>
        <w:t xml:space="preserve"> </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49%</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0,49</w:t>
      </w:r>
    </w:p>
    <w:p w:rsidR="00D33F17" w:rsidRDefault="00D33F17">
      <w:pPr>
        <w:shd w:val="clear" w:color="auto" w:fill="FFFFFF"/>
        <w:tabs>
          <w:tab w:val="left" w:pos="5008"/>
        </w:tabs>
        <w:spacing w:line="276" w:lineRule="auto"/>
        <w:ind w:left="720" w:right="660"/>
        <w:jc w:val="both"/>
        <w:rPr>
          <w:rFonts w:ascii="Century Gothic" w:eastAsia="Century Gothic" w:hAnsi="Century Gothic" w:cs="Century Gothic"/>
          <w:b/>
          <w:bCs/>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¿Qué se ha hecho?</w:t>
      </w:r>
      <w:r>
        <w:rPr>
          <w:rFonts w:ascii="Century Gothic" w:eastAsia="Century Gothic" w:hAnsi="Century Gothic" w:cs="Century Gothic"/>
          <w:color w:val="002060"/>
          <w:sz w:val="22"/>
          <w:szCs w:val="22"/>
        </w:rPr>
        <w:t>: Se avanzó en la ampliación del PDA mediante la consolidación y ajuste de los estudios técnicos, financieros y de ejecución de proyectos con ingeniería de detalle para el periodo 2030-2050. Paralelamente, se desarrolló el proceso institucional y legal requerido, incluyendo mesas de trabajo con el DNP y el Ministerio de Vivienda, la obtención de certificaciones de las Secretarías de Prospectiva y Hacienda, y la gestión ante el Consejo de Gobierno para la declaratoria del proyecto como de importancia estratégica, junto con la elaboración de la exposición de motivos y el borrador del proyecto de ordenanza.</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Gestionar recursos ante organizaciones nacionales e internacionales, entes  gubernamentales y empresas del sector privado para tener una mayor competitividad en el mercado.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4F81BD"/>
          <w:sz w:val="26"/>
          <w:szCs w:val="26"/>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Priorizar y ejecutar alternativas de mejoramiento en la prestación del servicio de aseo a través de la recolección y transporte de residuos sólidos y Respel.</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Realizar alianzas estratégicas con el sector público, privado, académico, cívico y comunal con el fin de mejorar la apropiación del conocimiento, la competitividad de la empresa y acceder a recursos de diferente índole.</w:t>
      </w:r>
    </w:p>
    <w:tbl>
      <w:tblPr>
        <w:tblStyle w:val="a5"/>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D33F17">
      <w:pPr>
        <w:shd w:val="clear" w:color="auto" w:fill="FFFFFF"/>
        <w:tabs>
          <w:tab w:val="left" w:pos="5008"/>
        </w:tabs>
        <w:spacing w:line="276" w:lineRule="auto"/>
        <w:ind w:left="720"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4"/>
          <w:szCs w:val="24"/>
        </w:rPr>
      </w:pPr>
      <w:r>
        <w:rPr>
          <w:rFonts w:ascii="Century Gothic" w:eastAsia="Century Gothic" w:hAnsi="Century Gothic" w:cs="Century Gothic"/>
          <w:b/>
          <w:bCs/>
          <w:color w:val="002060"/>
          <w:sz w:val="22"/>
          <w:szCs w:val="22"/>
        </w:rPr>
        <w:t xml:space="preserve"> ¿Qué se ha hecho?:</w:t>
      </w:r>
      <w:r>
        <w:rPr>
          <w:rFonts w:ascii="Century Gothic" w:eastAsia="Century Gothic" w:hAnsi="Century Gothic" w:cs="Century Gothic"/>
          <w:color w:val="002060"/>
          <w:sz w:val="22"/>
          <w:szCs w:val="22"/>
        </w:rPr>
        <w:t xml:space="preserve"> En 2024 se estableció una alianza con ACOFI para impulsar actividades de investigación e innovación. En 2025, se acompañó la firma de un convenio con la Secretaría de Bienestar Verde para identificar sitios potenciales de parques tecnológicos ambientales y se encuentra en revisión jurídica un documento para estructurar una alianza estratégica sobre el nodo departamental de negocios verdes.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4"/>
          <w:szCs w:val="24"/>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Hacer el acercamiento a los prestadores de servicios públicos domiciliarios que se encuentren interesados en ser socios de EPC.</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4F81BD"/>
          <w:sz w:val="26"/>
          <w:szCs w:val="26"/>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Convertirse en socio de más prestadores directos e indirectos en el departamento.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Elaborar modelos de negocio técnicamente estructurados y  gestionar su aprobación (Socios)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tbl>
      <w:tblPr>
        <w:tblStyle w:val="a6"/>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0,30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67%</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 </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20%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0,2</w:t>
      </w:r>
    </w:p>
    <w:p w:rsidR="00D33F17" w:rsidRDefault="00080EDA">
      <w:pPr>
        <w:shd w:val="clear" w:color="auto" w:fill="FFFFFF"/>
        <w:tabs>
          <w:tab w:val="left" w:pos="5008"/>
        </w:tabs>
        <w:spacing w:before="240" w:after="600" w:line="276" w:lineRule="auto"/>
        <w:ind w:right="660"/>
        <w:jc w:val="both"/>
        <w:rPr>
          <w:rFonts w:ascii="Century Gothic" w:eastAsia="Century Gothic" w:hAnsi="Century Gothic" w:cs="Century Gothic"/>
          <w:color w:val="002060"/>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fortaleció la estructuración de modelos de negocio para las empresas socias y se avanzó en la conformación de una alianza estratégica con la Empresa de Servicios Públicos de Pacho, orientada a evaluar la viabilidad de una sociedad de operación y capital compartido que permita optimizar la prestación de los servicios en el municipio.</w:t>
      </w:r>
    </w:p>
    <w:p w:rsidR="00D33F17" w:rsidRDefault="00080EDA">
      <w:pPr>
        <w:rPr>
          <w:rFonts w:ascii="Century Gothic" w:eastAsia="Century Gothic" w:hAnsi="Century Gothic" w:cs="Century Gothic"/>
          <w:b/>
          <w:bCs/>
          <w:color w:val="0070C0"/>
          <w:sz w:val="24"/>
          <w:szCs w:val="24"/>
        </w:rPr>
      </w:pPr>
      <w:bookmarkStart w:id="14" w:name="_heading=h.64gq0csq2dt1" w:colFirst="0" w:colLast="0"/>
      <w:bookmarkEnd w:id="14"/>
      <w:r>
        <w:rPr>
          <w:rFonts w:ascii="Century Gothic" w:eastAsia="Century Gothic" w:hAnsi="Century Gothic" w:cs="Century Gothic"/>
          <w:b/>
          <w:bCs/>
          <w:color w:val="0070C0"/>
          <w:sz w:val="24"/>
          <w:szCs w:val="24"/>
        </w:rPr>
        <w:t>Formular el Business Plan para cada una de las nuevas líneas de negocios.</w:t>
      </w:r>
    </w:p>
    <w:p w:rsidR="00D33F17" w:rsidRDefault="00D33F17"/>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Diversificar el portafolio de EPC mediante la operación de los servicios de Laboratorio para el análisis del agua, recolección de basuras y comercialización de energía fotovoltaica, alquiler de vehículos carro tanques y equipos succión presión, entre otros.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tbl>
      <w:tblPr>
        <w:tblStyle w:val="a7"/>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0,07</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70%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0,48</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0,09</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19%</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16%</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0,16</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Para el Acueducto Regional, se elaboró el análisis del sector, justificación, benchmarking y una propuesta para gestionar recursos. Se estructuró un convenio con la Secretaría de Prospectiva para financiar un estudio de prefactibilidad en 16 municipios. Se firmaron convenios clave: con la Secretaría de Prospectiva para la consultoría de prefactibilidad (valor $2.998 millones), con la CAR para estudios geofísicos magnetotelúricos (avanzando en visitas y prospección de predios), y con la Secretaría de Bienestar Verde ($12.240 mil millones) para exploración de aguas subterráneas. Además, se inició el trámite de concesión de aguas del embalse del Sisga y se gestionó ante la CAR la solicitud para el río Neusa.</w:t>
      </w:r>
    </w:p>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4"/>
          <w:szCs w:val="24"/>
        </w:rPr>
      </w:pPr>
    </w:p>
    <w:p w:rsidR="00D33F17" w:rsidRDefault="00080EDA">
      <w:pPr>
        <w:tabs>
          <w:tab w:val="left" w:pos="5008"/>
        </w:tabs>
        <w:spacing w:line="276" w:lineRule="auto"/>
        <w:rPr>
          <w:rFonts w:ascii="Century Gothic" w:eastAsia="Century Gothic" w:hAnsi="Century Gothic" w:cs="Century Gothic"/>
          <w:b/>
          <w:bCs/>
          <w:color w:val="0070C0"/>
          <w:sz w:val="24"/>
          <w:szCs w:val="24"/>
        </w:rPr>
      </w:pPr>
      <w:bookmarkStart w:id="15" w:name="_heading=h.wuam5jxxfx3d" w:colFirst="0" w:colLast="0"/>
      <w:bookmarkEnd w:id="15"/>
      <w:r>
        <w:rPr>
          <w:rFonts w:ascii="Century Gothic" w:eastAsia="Century Gothic" w:hAnsi="Century Gothic" w:cs="Century Gothic"/>
          <w:b/>
          <w:bCs/>
          <w:color w:val="0070C0"/>
          <w:sz w:val="24"/>
          <w:szCs w:val="24"/>
        </w:rPr>
        <w:t>Formular el Business Plan para cada una de las nuevas líneas de negocios.</w:t>
      </w:r>
    </w:p>
    <w:p w:rsidR="00D33F17" w:rsidRDefault="00D33F17">
      <w:pPr>
        <w:tabs>
          <w:tab w:val="left" w:pos="5008"/>
        </w:tabs>
        <w:spacing w:line="276" w:lineRule="auto"/>
        <w:rPr>
          <w:rFonts w:ascii="Century Gothic" w:eastAsia="Century Gothic" w:hAnsi="Century Gothic" w:cs="Century Gothic"/>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Priorizar y ejecutar alternativas de mejoramiento en la prestación del servicio de aseo a través de la recolección y transporte de residuos sólidos y Respel.</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tbl>
      <w:tblPr>
        <w:tblStyle w:val="a8"/>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0,12</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80%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0,85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0,03</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15%</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0,15</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avanzó en la estructuración de un esquema regional para el servicio de aseo en Cundinamarca. Se realizó un diagnóstico preliminar, se modeló la factibilidad financiera y se firmaron nueve memorandos de entendimiento con municipios. Asimismo, se finalizó el prediagnóstico técnico de las PARSOs, se solicitó colaboración a la Universidad Nacional, se gestionó información tarifaria y vehicular, y se </w:t>
      </w:r>
      <w:r>
        <w:rPr>
          <w:rFonts w:ascii="Century Gothic" w:eastAsia="Century Gothic" w:hAnsi="Century Gothic" w:cs="Century Gothic"/>
          <w:color w:val="002060"/>
          <w:sz w:val="22"/>
          <w:szCs w:val="22"/>
        </w:rPr>
        <w:lastRenderedPageBreak/>
        <w:t>amplió la red de acuerdos a dieciséis municipios. Además, se evaluó la prestación del servicio y se inició el proceso de revisión por parte del comité técnico para la selección de un aliado estratégico, tras la recepción de propuestas.</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Formular el Business Plan para cada una de las nuevas líneas de negocios.</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Ejecutar acciones que promuevan el aprovechamiento y tratamiento de residuos sólidos y Respel, con la implementación de dos (2) parque tecnológico.</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p>
    <w:tbl>
      <w:tblPr>
        <w:tblStyle w:val="a9"/>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0,8</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13%</w:t>
            </w:r>
          </w:p>
        </w:tc>
      </w:tr>
    </w:tbl>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30%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0,3</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lanzó y firmó un convenio estratégico por $508,8 millones para financiar la primera fase del Parque Tecnológico Ambiental. Este convenio se encuentra en ejecución y ha permitido suscribir dos acuerdos con la CAR para obtener en comodato 20 hectáreas en el predio Cruz Verde de Bojacá. Adicionalmente, se contrataron los estudios prediales y topográficos necesarios para dicho predio.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Formular el Business Plan para cada una de las nuevas líneas de negocios.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4F81BD"/>
          <w:sz w:val="26"/>
          <w:szCs w:val="26"/>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Establecimiento de energías alternativas en zonas rurales del Departamento.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line="276" w:lineRule="auto"/>
        <w:ind w:right="660"/>
        <w:rPr>
          <w:rFonts w:ascii="Century Gothic" w:eastAsia="Century Gothic" w:hAnsi="Century Gothic" w:cs="Century Gothic"/>
          <w:color w:val="002060"/>
          <w:sz w:val="22"/>
          <w:szCs w:val="22"/>
        </w:rPr>
      </w:pPr>
    </w:p>
    <w:tbl>
      <w:tblPr>
        <w:tblStyle w:val="aa"/>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0,85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0,26</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31%</w:t>
            </w:r>
          </w:p>
        </w:tc>
      </w:tr>
    </w:tbl>
    <w:p w:rsidR="00D33F17" w:rsidRDefault="00D33F17">
      <w:pPr>
        <w:shd w:val="clear" w:color="auto" w:fill="FFFFFF"/>
        <w:tabs>
          <w:tab w:val="left" w:pos="5008"/>
        </w:tabs>
        <w:spacing w:line="276" w:lineRule="auto"/>
        <w:ind w:right="660"/>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41%</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0,41</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avanzó en la estructuración del negocio de energía mediante análisis de radiación solar, identificación de predios potenciales —incluido el predio La Ceiba Forero en Guaduas—, diagnósticos en instituciones de salud y estudios de prefactibilidad para generación hidráulica y solar. Posteriormente, se consolidó el diagnóstico energético de 45 prestadores a través del programa Aquafuerza, se profundizaron los estudios de prefactibilidad en 15 hospitales en alianza con la UNAD, se identificaron nuevos predios estratégicos y se presentó un aliado estratégico al Comité Comercial, fortaleciendo el modelo de negocio.</w:t>
      </w:r>
    </w:p>
    <w:p w:rsidR="00D33F17" w:rsidRDefault="00D33F17">
      <w:pPr>
        <w:shd w:val="clear" w:color="auto" w:fill="FFFFFF"/>
        <w:tabs>
          <w:tab w:val="left" w:pos="5008"/>
        </w:tabs>
        <w:spacing w:before="240" w:line="276" w:lineRule="auto"/>
        <w:ind w:right="660"/>
        <w:rPr>
          <w:rFonts w:ascii="Century Gothic" w:eastAsia="Century Gothic" w:hAnsi="Century Gothic" w:cs="Century Gothic"/>
          <w:color w:val="002060"/>
          <w:sz w:val="22"/>
          <w:szCs w:val="22"/>
        </w:rPr>
      </w:pPr>
    </w:p>
    <w:p w:rsidR="00D33F17" w:rsidRDefault="00080EDA">
      <w:pPr>
        <w:rPr>
          <w:rFonts w:ascii="Century Gothic" w:eastAsia="Century Gothic" w:hAnsi="Century Gothic" w:cs="Century Gothic"/>
          <w:b/>
          <w:bCs/>
          <w:color w:val="0070C0"/>
          <w:sz w:val="24"/>
          <w:szCs w:val="24"/>
        </w:rPr>
      </w:pPr>
      <w:bookmarkStart w:id="16" w:name="_heading=h.brf53pz41avi" w:colFirst="0" w:colLast="0"/>
      <w:bookmarkEnd w:id="16"/>
      <w:r>
        <w:rPr>
          <w:rFonts w:ascii="Century Gothic" w:eastAsia="Century Gothic" w:hAnsi="Century Gothic" w:cs="Century Gothic"/>
          <w:b/>
          <w:bCs/>
          <w:color w:val="0070C0"/>
          <w:sz w:val="24"/>
          <w:szCs w:val="24"/>
        </w:rPr>
        <w:t>Formular el Business Plan para cada una de las nuevas líneas de negocios.</w:t>
      </w:r>
    </w:p>
    <w:p w:rsidR="00D33F17" w:rsidRDefault="00D33F17"/>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Diversificar el portafolio de EPC mediante la operación de los servicios de Laboratorio para el análisis del agua, recolección de basuras y comercialización de energía fotovoltaica, alquiler de vehículos carro tanques y equipos succión presión, entre otros.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tbl>
      <w:tblPr>
        <w:tblStyle w:val="ab"/>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lastRenderedPageBreak/>
        <w:t>Avance acumulado: 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bookmarkStart w:id="17" w:name="_heading=h.oecxknqqtj04" w:colFirst="0" w:colLast="0"/>
      <w:bookmarkEnd w:id="17"/>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iniciaron acciones para modificar los estatutos sociales de EPC con el fin de habilitar el desarrollo del servicio de telecomunicaciones. Posteriormente, los esfuerzos se concentraron en la actualización de manuales y procedimientos, la realización de diagnósticos y planes de mejora para empresas socias, la estructuración de una nueva línea de negocio de alquiler de equipos, el fortalecimiento de redes de proveedores y la formulación de una propuesta de asistencia técnica para Cundinamarca.</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Formular el Business Plan para cada una de las nuevas líneas de negocios.</w:t>
      </w:r>
    </w:p>
    <w:p w:rsidR="00D33F17" w:rsidRDefault="00080EDA">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Diversificar el portafolio de EPC mediante la operación de los servicios de Laboratorio para el análisis del agua, recolección de basuras y comercialización de energía fotovoltaica, alquiler de vehículos carro tanques y equipos succión presión, entre otros.</w:t>
      </w:r>
    </w:p>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p>
    <w:tbl>
      <w:tblPr>
        <w:tblStyle w:val="ac"/>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0,035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70%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0,95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FF0000"/>
                <w:sz w:val="22"/>
                <w:szCs w:val="22"/>
              </w:rPr>
            </w:pPr>
            <w:r>
              <w:rPr>
                <w:rFonts w:ascii="Century Gothic" w:eastAsia="Century Gothic" w:hAnsi="Century Gothic" w:cs="Century Gothic"/>
                <w:color w:val="002060"/>
                <w:sz w:val="22"/>
                <w:szCs w:val="22"/>
              </w:rPr>
              <w:t>0,05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r>
    </w:tbl>
    <w:p w:rsidR="00D33F17" w:rsidRDefault="00D33F17">
      <w:pPr>
        <w:shd w:val="clear" w:color="auto" w:fill="FFFFFF"/>
        <w:tabs>
          <w:tab w:val="left" w:pos="5008"/>
        </w:tabs>
        <w:spacing w:before="240"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8,5%</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0,085</w:t>
      </w:r>
    </w:p>
    <w:p w:rsidR="00D33F17" w:rsidRDefault="00D33F17">
      <w:pPr>
        <w:shd w:val="clear" w:color="auto" w:fill="FFFFFF"/>
        <w:tabs>
          <w:tab w:val="left" w:pos="5008"/>
        </w:tabs>
        <w:spacing w:line="276" w:lineRule="auto"/>
        <w:ind w:left="720" w:right="660"/>
        <w:jc w:val="both"/>
        <w:rPr>
          <w:rFonts w:ascii="Century Gothic" w:eastAsia="Century Gothic" w:hAnsi="Century Gothic" w:cs="Century Gothic"/>
          <w:color w:val="002060"/>
          <w:sz w:val="24"/>
          <w:szCs w:val="24"/>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 ¿Qué se ha hecho?: </w:t>
      </w:r>
      <w:r>
        <w:rPr>
          <w:rFonts w:ascii="Century Gothic" w:eastAsia="Century Gothic" w:hAnsi="Century Gothic" w:cs="Century Gothic"/>
          <w:color w:val="002060"/>
          <w:sz w:val="22"/>
          <w:szCs w:val="22"/>
        </w:rPr>
        <w:t xml:space="preserve">Se inició el proceso de elaboración del diagnóstico y recopilación de datos de los prestadores, culminando en un análisis detallado que permitió diseñar un modelo de negocio viable centrado en equipos como el de succión-presión. Asimismo, se evaluó la incorporación de un aliado estratégico, se avanzó en la línea de negocio de alquiler de </w:t>
      </w:r>
      <w:r>
        <w:rPr>
          <w:rFonts w:ascii="Century Gothic" w:eastAsia="Century Gothic" w:hAnsi="Century Gothic" w:cs="Century Gothic"/>
          <w:color w:val="002060"/>
          <w:sz w:val="22"/>
          <w:szCs w:val="22"/>
        </w:rPr>
        <w:lastRenderedPageBreak/>
        <w:t>equipos, se formuló una propuesta de asistencia técnica para Cundinamarca y se fortaleció el relacionamiento institucional mediante la participación en foros sectoriales como Andesco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Formular el Business Plan para cada una de las nuevas líneas de negocios.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70C0"/>
          <w:sz w:val="28"/>
          <w:szCs w:val="28"/>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Ser una empresa prestadora de servicios públicos a nivel departamental y nacional.</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Estructurar 7 modelos de negocios sostenibles. Agua, aseo, parques tecnológicos, energía, telecomunicaciones, alquiler de equipo, administración y operación acueductos y alcantarillado.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tbl>
      <w:tblPr>
        <w:tblStyle w:val="ad"/>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0,035</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70%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20%</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8,5%</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0,085</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inició el proceso de diagnóstico y recopilación de datos de los prestadores y se consolidó este trabajo al desarrollar una nueva ficha de caracterización del proceso, actualizar manuales operativos y culminar un diagnóstico detallado que permitió diseñar un modelo de negocio viable, centrado en equipos estratégicos como el de succión-presión. Además, se evaluó la incorporación de un aliado estratégico, se avanzó en la nueva línea de negocio de alquiler de equipos y se formuló una propuesta de asistencia técnica para Cundinamarca, fortaleciendo también el relacionamiento institucional en foros como Andesco.</w:t>
      </w:r>
    </w:p>
    <w:p w:rsidR="00D33F17" w:rsidRDefault="00D33F17">
      <w:pPr>
        <w:shd w:val="clear" w:color="auto" w:fill="FFFFFF"/>
        <w:tabs>
          <w:tab w:val="left" w:pos="5008"/>
        </w:tabs>
        <w:spacing w:line="420" w:lineRule="auto"/>
        <w:ind w:right="660"/>
        <w:jc w:val="both"/>
        <w:rPr>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Conformar un equipo de profesionales en los componentes legales, comerciales, financieros y jurídicos que identifiquen y estructuren nuevas líneas de negocio.</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Ser una empresa prestadora de servicios públicos a nivel departamental y nacional.</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rPr>
          <w:rFonts w:ascii="Calibri" w:eastAsia="Calibri" w:hAnsi="Calibri" w:cs="Calibri"/>
          <w:color w:val="000000"/>
          <w:sz w:val="23"/>
          <w:szCs w:val="23"/>
        </w:rPr>
      </w:pPr>
      <w:r>
        <w:rPr>
          <w:rFonts w:ascii="Century Gothic" w:eastAsia="Century Gothic" w:hAnsi="Century Gothic" w:cs="Century Gothic"/>
          <w:b/>
          <w:bCs/>
          <w:color w:val="002060"/>
          <w:sz w:val="22"/>
          <w:szCs w:val="22"/>
        </w:rPr>
        <w:lastRenderedPageBreak/>
        <w:t>Actividad</w:t>
      </w:r>
      <w:r>
        <w:rPr>
          <w:rFonts w:ascii="Century Gothic" w:eastAsia="Century Gothic" w:hAnsi="Century Gothic" w:cs="Century Gothic"/>
          <w:color w:val="002060"/>
          <w:sz w:val="22"/>
          <w:szCs w:val="22"/>
        </w:rPr>
        <w:t>: Estructurar un modelo de negocio para la operación de los sistemas de acueducto y alcantarillado regional.</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tbl>
      <w:tblPr>
        <w:tblStyle w:val="ae"/>
        <w:tblW w:w="8232"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8"/>
        <w:gridCol w:w="1278"/>
        <w:gridCol w:w="1278"/>
        <w:gridCol w:w="1420"/>
        <w:gridCol w:w="1419"/>
        <w:gridCol w:w="1419"/>
      </w:tblGrid>
      <w:tr w:rsidR="00D33F17">
        <w:trPr>
          <w:tblHeader/>
          <w:jc w:val="center"/>
        </w:trPr>
        <w:tc>
          <w:tcPr>
            <w:tcW w:w="141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8" w:type="dxa"/>
            <w:tcBorders>
              <w:top w:val="single" w:sz="8" w:space="0" w:color="000000"/>
              <w:left w:val="single" w:sz="8" w:space="0" w:color="000000"/>
              <w:bottom w:val="single" w:sz="8" w:space="0" w:color="000000"/>
              <w:right w:val="single" w:sz="8" w:space="0" w:color="000000"/>
            </w:tcBorders>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20"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9" w:type="dxa"/>
            <w:tcBorders>
              <w:top w:val="single" w:sz="8" w:space="0" w:color="000000"/>
              <w:left w:val="single" w:sz="8" w:space="0" w:color="000000"/>
              <w:bottom w:val="single" w:sz="8" w:space="0" w:color="000000"/>
              <w:right w:val="single" w:sz="8" w:space="0" w:color="000000"/>
            </w:tcBorders>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8"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20"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0,05</w:t>
            </w:r>
          </w:p>
        </w:tc>
        <w:tc>
          <w:tcPr>
            <w:tcW w:w="1419" w:type="dxa"/>
            <w:tcBorders>
              <w:top w:val="single" w:sz="8" w:space="0" w:color="000000"/>
              <w:left w:val="single" w:sz="8" w:space="0" w:color="000000"/>
              <w:bottom w:val="single" w:sz="8" w:space="0" w:color="000000"/>
              <w:right w:val="single" w:sz="8" w:space="0" w:color="000000"/>
            </w:tcBorders>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r>
    </w:tbl>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0,05</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avanzó en la actualización de manuales y procedimientos operativos, se realizaron diagnósticos y planes de mejora para las empresas socias PANDI y JENAGUAS, y se estructuró una nueva línea de negocio de alquiler de equipos. También se fortalecieron las redes de proveedores, se actualizó la ficha de caracterización de la Dirección Operativa, se formuló una propuesta de asistencia técnica para Cundinamarca y se robusteció el relacionamiento institucional en espacios como Andesco.</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Durante el periodo, la </w:t>
      </w:r>
      <w:r>
        <w:rPr>
          <w:rFonts w:ascii="Century Gothic" w:eastAsia="Century Gothic" w:hAnsi="Century Gothic" w:cs="Century Gothic"/>
          <w:b/>
          <w:bCs/>
          <w:color w:val="002060"/>
          <w:sz w:val="22"/>
          <w:szCs w:val="22"/>
        </w:rPr>
        <w:t>Empresas Públicas de Cundinamarca (EPC)</w:t>
      </w:r>
      <w:r>
        <w:rPr>
          <w:rFonts w:ascii="Century Gothic" w:eastAsia="Century Gothic" w:hAnsi="Century Gothic" w:cs="Century Gothic"/>
          <w:color w:val="002060"/>
          <w:sz w:val="22"/>
          <w:szCs w:val="22"/>
        </w:rPr>
        <w:t xml:space="preserve"> muestra una gestión caracterizada por importantes esfuerzos en planificación y estructuración, aunque resultados desiguales</w:t>
      </w:r>
      <w:r>
        <w:rPr>
          <w:rFonts w:ascii="Quattrocento Sans" w:eastAsia="Quattrocento Sans" w:hAnsi="Quattrocento Sans" w:cs="Quattrocento Sans"/>
          <w:b/>
          <w:bCs/>
          <w:color w:val="0F1115"/>
          <w:sz w:val="24"/>
          <w:szCs w:val="24"/>
          <w:highlight w:val="white"/>
        </w:rPr>
        <w:t xml:space="preserve"> </w:t>
      </w:r>
      <w:r>
        <w:rPr>
          <w:rFonts w:ascii="Century Gothic" w:eastAsia="Century Gothic" w:hAnsi="Century Gothic" w:cs="Century Gothic"/>
          <w:color w:val="002060"/>
          <w:sz w:val="22"/>
          <w:szCs w:val="22"/>
        </w:rPr>
        <w:t>en la materialización concreta de los objetivos trazados. Se observa un trabajo sólido en la fase inicial de diversos proyectos estratégicos: se realizaron diagnósticos integrales y se formularon planes de acción para las empresas socias, se avanzó significativamente en la estructuración del Plan Departamental de Agua, y se gestionaron con éxito alianzas clave con entidades como ACOFI, la CAR y la Secretaría de Bienestar Verde. Asimismo, se dedicaron recursos considerables al diseño de modelos de negocio para nuevas líneas, como la transición energética y la gestión regional de residuos, alcanzando en 2024 avances notables en su fase de diagnóstico y formulación.</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No obstante, el proceso de implementación y ejecución física de estas iniciativas presentó un ritmo más moderado. Mientras que la gestión de recursos y alianzas cumplió ampliamente las expectativas, otras metas operativas mostraron un progreso limitado. La ampliación de la capacidad para atender emergencias y la adquisición de sistemas de información para el seguimiento de proyectos, por ejemplo, se mantuvieron en etapas de solicitud y proceso contractual, sin concretarse en la recepción de equipos o la puesta en marcha de los sistemas. De igual forma, la ejecución de los planes de negocio, tras prometedores inicios, </w:t>
      </w:r>
      <w:r>
        <w:rPr>
          <w:rFonts w:ascii="Century Gothic" w:eastAsia="Century Gothic" w:hAnsi="Century Gothic" w:cs="Century Gothic"/>
          <w:color w:val="002060"/>
          <w:sz w:val="22"/>
          <w:szCs w:val="22"/>
        </w:rPr>
        <w:lastRenderedPageBreak/>
        <w:t>experimentó una desaceleración en 2025, lo que sugiere que la transición de la etapa de diseño a la de operación requiere mayor impulso.</w:t>
      </w:r>
    </w:p>
    <w:p w:rsidR="00D33F17" w:rsidRDefault="00080EDA">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Por lo tanto, EPC consolidó durante este bienio una robusta base estratégica, de planeación y de relacionamiento institucional. El desafío identificado radica en acelerar y priorizar la fase de implementación para transformar estos planes, estudios y alianzas en resultados tangibles que se reflejen en una mejora operativa concreta, la ampliación de la infraestructura y la consolidación efectiva de los nuevos servicios proyectados, asegurando así un impacto directo y medible en la prestación de servicios públicos en el departamento.</w:t>
      </w: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49"/>
        <w:jc w:val="both"/>
        <w:rPr>
          <w:rFonts w:ascii="Century Gothic" w:eastAsia="Century Gothic" w:hAnsi="Century Gothic" w:cs="Century Gothic"/>
          <w:b/>
          <w:bCs/>
          <w:color w:val="002060"/>
          <w:sz w:val="26"/>
          <w:szCs w:val="26"/>
        </w:rPr>
      </w:pPr>
      <w:r>
        <w:rPr>
          <w:noProof/>
        </w:rPr>
        <w:drawing>
          <wp:anchor distT="0" distB="0" distL="0" distR="0" simplePos="0" relativeHeight="251660288" behindDoc="1" locked="0" layoutInCell="1" hidden="0" allowOverlap="1">
            <wp:simplePos x="0" y="0"/>
            <wp:positionH relativeFrom="column">
              <wp:posOffset>-1085849</wp:posOffset>
            </wp:positionH>
            <wp:positionV relativeFrom="paragraph">
              <wp:posOffset>247650</wp:posOffset>
            </wp:positionV>
            <wp:extent cx="7733030" cy="10096500"/>
            <wp:effectExtent l="0" t="0" r="0" b="0"/>
            <wp:wrapNone/>
            <wp:docPr id="2048110480"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10"/>
                    <a:srcRect/>
                    <a:stretch>
                      <a:fillRect/>
                    </a:stretch>
                  </pic:blipFill>
                  <pic:spPr>
                    <a:xfrm>
                      <a:off x="0" y="0"/>
                      <a:ext cx="7733030" cy="10096500"/>
                    </a:xfrm>
                    <a:prstGeom prst="rect">
                      <a:avLst/>
                    </a:prstGeom>
                    <a:ln/>
                  </pic:spPr>
                </pic:pic>
              </a:graphicData>
            </a:graphic>
          </wp:anchor>
        </w:drawing>
      </w:r>
    </w:p>
    <w:p w:rsidR="00D33F17" w:rsidRDefault="00D33F17">
      <w:pPr>
        <w:shd w:val="clear" w:color="auto" w:fill="FFFFFF"/>
        <w:tabs>
          <w:tab w:val="left" w:pos="5008"/>
        </w:tabs>
        <w:spacing w:line="276" w:lineRule="auto"/>
        <w:ind w:right="49"/>
        <w:jc w:val="both"/>
        <w:rPr>
          <w:rFonts w:ascii="Century Gothic" w:eastAsia="Century Gothic" w:hAnsi="Century Gothic" w:cs="Century Gothic"/>
          <w:b/>
          <w:bCs/>
          <w:color w:val="002060"/>
          <w:sz w:val="26"/>
          <w:szCs w:val="26"/>
        </w:rPr>
      </w:pPr>
    </w:p>
    <w:p w:rsidR="00D33F17" w:rsidRDefault="00D33F17">
      <w:pPr>
        <w:shd w:val="clear" w:color="auto" w:fill="FFFFFF"/>
        <w:tabs>
          <w:tab w:val="left" w:pos="5008"/>
        </w:tabs>
        <w:spacing w:line="276" w:lineRule="auto"/>
        <w:ind w:right="49"/>
        <w:jc w:val="both"/>
        <w:rPr>
          <w:rFonts w:ascii="Century Gothic" w:eastAsia="Century Gothic" w:hAnsi="Century Gothic" w:cs="Century Gothic"/>
          <w:b/>
          <w:bCs/>
          <w:color w:val="002060"/>
          <w:sz w:val="26"/>
          <w:szCs w:val="26"/>
        </w:rPr>
      </w:pPr>
    </w:p>
    <w:p w:rsidR="00D33F17" w:rsidRDefault="00D33F17">
      <w:pPr>
        <w:shd w:val="clear" w:color="auto" w:fill="FFFFFF"/>
        <w:tabs>
          <w:tab w:val="left" w:pos="5008"/>
        </w:tabs>
        <w:ind w:right="660"/>
        <w:jc w:val="both"/>
        <w:rPr>
          <w:rFonts w:ascii="Calibri" w:eastAsia="Calibri" w:hAnsi="Calibri" w:cs="Calibri"/>
          <w:b/>
          <w:bCs/>
          <w:color w:val="4F81BD"/>
          <w:sz w:val="26"/>
          <w:szCs w:val="26"/>
        </w:rPr>
      </w:pPr>
    </w:p>
    <w:p w:rsidR="00D33F17" w:rsidRDefault="00D33F17">
      <w:pPr>
        <w:shd w:val="clear" w:color="auto" w:fill="FFFFFF"/>
        <w:tabs>
          <w:tab w:val="left" w:pos="5008"/>
        </w:tabs>
        <w:ind w:right="660"/>
        <w:jc w:val="both"/>
        <w:rPr>
          <w:rFonts w:ascii="Calibri" w:eastAsia="Calibri" w:hAnsi="Calibri" w:cs="Calibri"/>
          <w:b/>
          <w:bCs/>
          <w:color w:val="4F81BD"/>
          <w:sz w:val="26"/>
          <w:szCs w:val="26"/>
        </w:rPr>
      </w:pPr>
    </w:p>
    <w:p w:rsidR="00D33F17" w:rsidRDefault="00D33F17">
      <w:pPr>
        <w:shd w:val="clear" w:color="auto" w:fill="FFFFFF"/>
        <w:tabs>
          <w:tab w:val="left" w:pos="5008"/>
        </w:tabs>
        <w:ind w:right="660"/>
        <w:jc w:val="both"/>
        <w:rPr>
          <w:rFonts w:ascii="Calibri" w:eastAsia="Calibri" w:hAnsi="Calibri" w:cs="Calibri"/>
          <w:b/>
          <w:bCs/>
          <w:color w:val="4F81BD"/>
          <w:sz w:val="26"/>
          <w:szCs w:val="26"/>
        </w:rPr>
      </w:pPr>
    </w:p>
    <w:p w:rsidR="00D33F17" w:rsidRDefault="00D33F17">
      <w:pPr>
        <w:shd w:val="clear" w:color="auto" w:fill="FFFFFF"/>
        <w:tabs>
          <w:tab w:val="left" w:pos="5008"/>
        </w:tabs>
        <w:ind w:right="660"/>
        <w:jc w:val="both"/>
        <w:rPr>
          <w:rFonts w:ascii="Calibri" w:eastAsia="Calibri" w:hAnsi="Calibri" w:cs="Calibri"/>
          <w:b/>
          <w:bCs/>
          <w:color w:val="4F81BD"/>
          <w:sz w:val="26"/>
          <w:szCs w:val="26"/>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rPr>
          <w:b/>
          <w:bCs/>
          <w:color w:val="4F81BD"/>
          <w:sz w:val="22"/>
          <w:szCs w:val="22"/>
        </w:rPr>
      </w:pPr>
    </w:p>
    <w:p w:rsidR="00D33F17" w:rsidRDefault="00D33F17">
      <w:pPr>
        <w:spacing w:before="240" w:after="240"/>
        <w:jc w:val="both"/>
        <w:rPr>
          <w:color w:val="0F1115"/>
          <w:sz w:val="22"/>
          <w:szCs w:val="22"/>
        </w:rPr>
      </w:pPr>
    </w:p>
    <w:p w:rsidR="00D33F17" w:rsidRDefault="00D33F17">
      <w:pPr>
        <w:spacing w:before="240" w:after="240"/>
        <w:jc w:val="both"/>
        <w:rPr>
          <w:color w:val="0F1115"/>
          <w:sz w:val="22"/>
          <w:szCs w:val="22"/>
        </w:rPr>
      </w:pPr>
    </w:p>
    <w:p w:rsidR="00D33F17" w:rsidRDefault="00D33F17">
      <w:pPr>
        <w:spacing w:before="240" w:after="240"/>
        <w:jc w:val="both"/>
        <w:rPr>
          <w:color w:val="0F1115"/>
          <w:sz w:val="22"/>
          <w:szCs w:val="22"/>
        </w:rPr>
      </w:pPr>
    </w:p>
    <w:p w:rsidR="00D33F17" w:rsidRDefault="00080EDA">
      <w:pPr>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lastRenderedPageBreak/>
        <w:t>En el marco del seguimiento a la implementación del Plan de Desarrollo Departamental 2024–2027, adoptado mediante Ordenanza, se analizan los avances en las estrategias cuya ejecución ha sido asignada a la Empresa Inmobiliaria y de Servicios Logísticos de Cundinamarca (EIC), entidad industrial y comercial del orden departamental.</w:t>
      </w:r>
    </w:p>
    <w:p w:rsidR="00D33F17" w:rsidRDefault="00080EDA">
      <w:pPr>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 EIC tiene a su cargo la ejecución de acciones relacionadas con la gestión de bienes inmuebles, el desarrollo de infraestructura pública, la administración de proyectos, la logística institucional y otros servicios que contribuyen directamente al cumplimiento de las metas establecidas en el plan. Su rol operativo y técnico es clave para la materialización de las estrategias que buscan optimizar la gestión pública y mejorar la capacidad institucional del departamento.</w:t>
      </w:r>
    </w:p>
    <w:p w:rsidR="00D33F17" w:rsidRDefault="00080EDA">
      <w:pPr>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Este informe presenta el estado de avance físico de dichas estrategias, los logros obtenidos durante el período evaluado, con el fin de fortalecer la implementación y garantizar el cumplimiento oportuno de los objetivos trazados en la Ordenanza 001 del PDD.</w:t>
      </w:r>
      <w:r>
        <w:rPr>
          <w:rFonts w:ascii="Century Gothic" w:eastAsia="Century Gothic" w:hAnsi="Century Gothic" w:cs="Century Gothic"/>
          <w:color w:val="002060"/>
          <w:sz w:val="22"/>
          <w:szCs w:val="22"/>
        </w:rPr>
        <w:tab/>
      </w:r>
    </w:p>
    <w:p w:rsidR="00D33F17" w:rsidRDefault="00080EDA">
      <w:pPr>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 Empresa Inmobiliaria y de Servicios Logísticos de Cundinamarca enfrenta como principal reto la consolidación y expansión de su operación comercial, mediante la incursión en nuevas líneas de negocio con enfoque estratégico, ambiental e institucional. Asimismo, busca fortalecer su papel como administrador de propiedad raíz, posicionarse como operador catastral a nivel territorial, mejorar la calidad de sus servicios, modernizar sus sistemas tecnológicos y aumentar su visibilidad e imagen institucional en los distintos niveles del sector público.</w:t>
      </w:r>
    </w:p>
    <w:p w:rsidR="00D33F17" w:rsidRDefault="00080EDA">
      <w:pPr>
        <w:shd w:val="clear" w:color="auto" w:fill="FFFFFF"/>
        <w:spacing w:before="240" w:after="240"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La EIC se ha trazado los siguientes retos para el cuatrienio:</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Incursionar en nuevas líneas de negocio con enfoque comercial, ambiental e institucional. </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Potenciar la línea administración de propiedad raíz, en la búsqueda de negocios estratégicos de orden Nacional, Departamental y Municipal. </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Posicionar la entidad como operadores catastrales a través de la ampliación en esta línea de negocio. </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Mejorar la calidad de los productos y/o servicios ofrecidos. </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Ampliar a diferentes niveles la operación comercial de la empresa </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Modernización e innovación de las tecnologías y sistemas de operación.</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Mejorar y posicionar la imagen institucional y aumentar la visibilidad.</w:t>
      </w: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color w:val="002060"/>
          <w:sz w:val="22"/>
          <w:szCs w:val="22"/>
        </w:rPr>
      </w:pPr>
    </w:p>
    <w:tbl>
      <w:tblPr>
        <w:tblStyle w:val="af"/>
        <w:tblW w:w="8354" w:type="dxa"/>
        <w:jc w:val="center"/>
        <w:tblInd w:w="0" w:type="dxa"/>
        <w:tblLayout w:type="fixed"/>
        <w:tblLook w:val="0400" w:firstRow="0" w:lastRow="0" w:firstColumn="0" w:lastColumn="0" w:noHBand="0" w:noVBand="1"/>
      </w:tblPr>
      <w:tblGrid>
        <w:gridCol w:w="2825"/>
        <w:gridCol w:w="3119"/>
        <w:gridCol w:w="2410"/>
      </w:tblGrid>
      <w:tr w:rsidR="00D33F17">
        <w:trPr>
          <w:trHeight w:val="460"/>
          <w:jc w:val="center"/>
        </w:trPr>
        <w:tc>
          <w:tcPr>
            <w:tcW w:w="835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t>Empresas Inmobiliaria y Servicio Logísticos de Cundinamarca EIC</w:t>
            </w:r>
          </w:p>
        </w:tc>
      </w:tr>
      <w:tr w:rsidR="00D33F17">
        <w:trPr>
          <w:trHeight w:val="501"/>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trPr>
          <w:trHeight w:val="89"/>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36"/>
                <w:szCs w:val="36"/>
              </w:rPr>
            </w:pPr>
            <w:r>
              <w:rPr>
                <w:rFonts w:ascii="Century Gothic" w:eastAsia="Century Gothic" w:hAnsi="Century Gothic" w:cs="Century Gothic"/>
                <w:b/>
                <w:bCs/>
                <w:color w:val="002060"/>
                <w:sz w:val="26"/>
                <w:szCs w:val="26"/>
              </w:rPr>
              <w:t>12</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8</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4</w:t>
            </w:r>
          </w:p>
        </w:tc>
      </w:tr>
    </w:tbl>
    <w:p w:rsidR="00D33F17" w:rsidRDefault="00D33F17">
      <w:pPr>
        <w:spacing w:before="240" w:after="240" w:line="276" w:lineRule="auto"/>
        <w:jc w:val="both"/>
        <w:rPr>
          <w:rFonts w:ascii="Century Gothic" w:eastAsia="Century Gothic" w:hAnsi="Century Gothic" w:cs="Century Gothic"/>
          <w:color w:val="002060"/>
          <w:sz w:val="22"/>
          <w:szCs w:val="22"/>
        </w:rPr>
      </w:pPr>
    </w:p>
    <w:p w:rsidR="00D33F17" w:rsidRDefault="00080EDA">
      <w:pPr>
        <w:spacing w:before="240" w:after="240" w:line="276" w:lineRule="auto"/>
        <w:jc w:val="center"/>
        <w:rPr>
          <w:rFonts w:ascii="Century Gothic" w:eastAsia="Century Gothic" w:hAnsi="Century Gothic" w:cs="Century Gothic"/>
          <w:b/>
          <w:bCs/>
          <w:color w:val="00B0F0"/>
          <w:sz w:val="32"/>
          <w:szCs w:val="32"/>
        </w:rPr>
      </w:pPr>
      <w:r>
        <w:rPr>
          <w:rFonts w:ascii="Century Gothic" w:eastAsia="Century Gothic" w:hAnsi="Century Gothic" w:cs="Century Gothic"/>
          <w:b/>
          <w:bCs/>
          <w:color w:val="00B0F0"/>
          <w:sz w:val="32"/>
          <w:szCs w:val="32"/>
        </w:rPr>
        <w:t>ESTRATEGIAS</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Adquisición de nuevas tecnologías que permitan fortalecer la prestación de los servicios y que brinden confidencialidad, disponibilidad e integridad de la información.</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Incursionar en nuevas líneas de negocio con enfoque comercial, ambiental e institucional.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Implementar herramientas de gobierno digital para desarrollar una gestión eficiente, transparente y participativa.</w:t>
      </w:r>
    </w:p>
    <w:tbl>
      <w:tblPr>
        <w:tblStyle w:val="af0"/>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w:t>
      </w:r>
    </w:p>
    <w:p w:rsidR="00D33F17" w:rsidRDefault="00D33F17">
      <w:pPr>
        <w:pBdr>
          <w:top w:val="nil"/>
          <w:left w:val="nil"/>
          <w:bottom w:val="nil"/>
          <w:right w:val="nil"/>
          <w:between w:val="nil"/>
        </w:pBdr>
        <w:shd w:val="clear" w:color="auto" w:fill="FFFFFF"/>
        <w:ind w:left="360"/>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avanzó en la modernización tecnológica de la Agencia mediante el inicio de la implementación del software </w:t>
      </w:r>
      <w:r>
        <w:rPr>
          <w:rFonts w:ascii="Century Gothic" w:eastAsia="Century Gothic" w:hAnsi="Century Gothic" w:cs="Century Gothic"/>
          <w:b/>
          <w:bCs/>
          <w:color w:val="002060"/>
          <w:sz w:val="22"/>
          <w:szCs w:val="22"/>
        </w:rPr>
        <w:t>ISOLUCIÓN</w:t>
      </w:r>
      <w:r>
        <w:rPr>
          <w:rFonts w:ascii="Century Gothic" w:eastAsia="Century Gothic" w:hAnsi="Century Gothic" w:cs="Century Gothic"/>
          <w:color w:val="002060"/>
          <w:sz w:val="22"/>
          <w:szCs w:val="22"/>
        </w:rPr>
        <w:t>, herramienta orientada a fortalecer la gestión interna y promover procesos más eficientes, transparentes y participativos. Este desarrollo marca un hito en la adopción de sistemas de información para optimizar los procedimientos institucionales.</w:t>
      </w:r>
    </w:p>
    <w:p w:rsidR="00D33F17" w:rsidRDefault="00D33F17">
      <w:pPr>
        <w:pBdr>
          <w:top w:val="nil"/>
          <w:left w:val="nil"/>
          <w:bottom w:val="nil"/>
          <w:right w:val="nil"/>
          <w:between w:val="nil"/>
        </w:pBdr>
        <w:shd w:val="clear" w:color="auto" w:fill="FFFFFF"/>
        <w:ind w:left="360"/>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Reestructuración de la empresa con el objetivo de mejorar la operatividad, competitividad en el mercado y optimización del recurso humano de la entidad.</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Reto:</w:t>
      </w:r>
      <w:r>
        <w:rPr>
          <w:rFonts w:ascii="Century Gothic" w:eastAsia="Century Gothic" w:hAnsi="Century Gothic" w:cs="Century Gothic"/>
          <w:color w:val="002060"/>
          <w:sz w:val="22"/>
          <w:szCs w:val="22"/>
        </w:rPr>
        <w:t> Potenciar la línea administración de propiedad raíz, en la búsqueda de negocios estratégicos de orden Nacional, Departamental y Municipal.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Mejorar la estructura organizacional de la Agencia para optimizar la operatividad, competitividad y el uso eficiente del recurso humano.</w:t>
      </w:r>
    </w:p>
    <w:tbl>
      <w:tblPr>
        <w:tblStyle w:val="af1"/>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100%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lograron avances significativos en el proceso de modernización y rediseño institucional, a través de la elaboración del anteproyecto del estudio técnico para la reestructuración de la Agencia. Dicho estudio busca optimizar la operatividad, competitividad y el aprovechamiento del recurso humano. El acto administrativo asociado se encuentra en proceso de revisión para su aprobación, consolidando un paso clave en el fortalecimiento de la estructura organizacional.</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Fortalecimiento y diversificación del portafolio de servicios de alto nivel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Posicionar la entidad como operadores catastrales a través de la ampliación en esta línea de negocio.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Promover iniciativas que contribuyan a la lucha contra la corrupción y al fortalecimiento de la gestión de la integridad.</w:t>
      </w:r>
    </w:p>
    <w:tbl>
      <w:tblPr>
        <w:tblStyle w:val="af2"/>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30%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implementaron modelos de invitación tipo estandarizados para procesos de mínima y menor cuantía, alineados con la normatividad vigente y los lineamientos de Colombia Compra Eficiente. Esto permitió contar con documentos uniformes que establecen requisitos claros, criterios de evaluación objetivos y condiciones contractuales definidas, garantizando procesos más ágiles, transparentes y seguros jurídicamente.</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Fortalecimiento y diversificación del portafolio de servicios de alto nivel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Posicionar la entidad como operadores catastrales a través de la ampliación en esta línea de negocio.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Promover iniciativas que contribuyan a la lucha contra la corrupción y al fortalecimiento de la gestión de la integridad.</w:t>
      </w:r>
    </w:p>
    <w:tbl>
      <w:tblPr>
        <w:tblStyle w:val="af3"/>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fortaleció la gestión del registro de proponentes mediante la adopción del PTEP, con seguimiento sistemático que garantiza una adecuada trazabilidad de los inscritos. Este avance contribuye a mejorar el control, la organización y la transparencia en los procesos contractuales de la Agencia.</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Optimización de procesos internos, en la definición de roles y responsabilidades con miras a la ejecución de objetivos encaminados al cumplimiento de la visión y mejorar la eficiencia operativa.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Mejorar la calidad de los productos y/o servicios ofrecidos.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Mantener los sistemas de gestión vigentes, con el fin de asegurar la organización interna de los procesos, la calidad del servicio y el reconocimiento por parte de las partes interesadas.</w:t>
      </w:r>
    </w:p>
    <w:tbl>
      <w:tblPr>
        <w:tblStyle w:val="af4"/>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100%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15</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avanzó en la actualización del sistema de gestión mediante la revisión y mejora de procesos, procedimientos, riesgos, indicadores y formatos. Se consolidó el informe de cumplimiento normativo y se llevó a revisión para su validación final.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lastRenderedPageBreak/>
        <w:t>Optimización de procesos internos, en la definición de roles y responsabilidades con miras a la ejecución de objetivos encaminados al cumplimiento de la visión y mejorar la eficiencia operativa.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Mejorar la calidad de los productos y/o servicios ofrecidos.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Ejecutar acciones orientadas al cumplimiento del Índice de Transparencia y Acceso a la Información Pública (ITA).</w:t>
      </w:r>
    </w:p>
    <w:tbl>
      <w:tblPr>
        <w:tblStyle w:val="af5"/>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80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fortaleció la gestión de transparencia con mejoras en la sede electrónica y el diligenciamiento del ITA. El informe fue revisado, validado y preparado para su presentación cumpliendo los requisitos establecidos.</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Optimización de procesos internos, en la definición de roles y responsabilidades con  miras a la ejecución de objetivos encaminados al cumplimiento de la visión y mejorar la eficiencia operativa.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Mejorar la calidad de los productos y/o servicios ofrecidos.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Implementar un Sistema de Monitoreo y Evaluación del Desempeño Institucional</w:t>
      </w:r>
    </w:p>
    <w:tbl>
      <w:tblPr>
        <w:tblStyle w:val="af6"/>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6</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6</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60%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6</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fortaleció el desempeño institucional con una evaluación positiva del MIPG, la presentación de acciones de mejora y la actualización de políticas clave como la Política de Integridad. Se avanzó en acciones para mejorar la calificación institucional y cumplir directrices de los entes de control.</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Optimización de procesos internos, en la definición de roles y responsabilidades con miras a la ejecución de objetivos encaminados al cumplimiento de la visión y mejorar la eficiencia operativa.</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Mejorar la calidad de los productos y/o servicios ofrecidos.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Mantener los sistemas de gestión vigentes, con el fin de asegurar la organización interna de los procesos, la calidad del servicio y el reconocimiento por parte de las partes interesadas.</w:t>
      </w:r>
    </w:p>
    <w:p w:rsidR="00D33F17" w:rsidRDefault="00D33F17">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p>
    <w:tbl>
      <w:tblPr>
        <w:tblStyle w:val="af7"/>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100%</w:t>
      </w:r>
      <w:r>
        <w:rPr>
          <w:rFonts w:ascii="Century Gothic" w:eastAsia="Century Gothic" w:hAnsi="Century Gothic" w:cs="Century Gothic"/>
          <w:b/>
          <w:bCs/>
          <w:color w:val="002060"/>
          <w:sz w:val="22"/>
          <w:szCs w:val="22"/>
        </w:rPr>
        <w:tab/>
        <w:t xml:space="preserve"> </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actualizó el manual de contratación y se publicó en la página web institucional, fortaleciendo la transparencia y el acceso a la información.</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Optimización de procesos internos, en la definición de roles y responsabilidades con miras a la ejecución de objetivos encaminados al cumplimiento de la visión y mejorar la eficiencia operativa.  </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Mejorar la calidad de los productos y/o servicios ofrecidos.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Gestionar el cumplimiento del presupuesto de manera eficiente, asegurando la estabilidad financiera de la entidad.</w:t>
      </w:r>
    </w:p>
    <w:tbl>
      <w:tblPr>
        <w:tblStyle w:val="af8"/>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30%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w:t>
      </w:r>
    </w:p>
    <w:p w:rsidR="00D33F17" w:rsidRDefault="00080EDA">
      <w:pPr>
        <w:pBdr>
          <w:top w:val="nil"/>
          <w:left w:val="nil"/>
          <w:bottom w:val="nil"/>
          <w:right w:val="nil"/>
          <w:between w:val="nil"/>
        </w:pBdr>
        <w:shd w:val="clear" w:color="auto" w:fill="FFFFFF"/>
        <w:spacing w:before="240" w:after="240"/>
        <w:jc w:val="both"/>
        <w:rPr>
          <w:rFonts w:ascii="Quattrocento Sans" w:eastAsia="Quattrocento Sans" w:hAnsi="Quattrocento Sans" w:cs="Quattrocento Sans"/>
          <w:color w:val="0F1115"/>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implementaron acciones de eficiencia financiera que permitieron superar la meta de reducción de gastos, optimizando el uso de los recursos asignados y garantizando estabilidad presupuestal.</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Generar un ambiente de motivación y compromiso de los funcionarios.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Quattrocento Sans" w:eastAsia="Quattrocento Sans" w:hAnsi="Quattrocento Sans" w:cs="Quattrocento Sans"/>
          <w:color w:val="0F1115"/>
          <w:sz w:val="24"/>
          <w:szCs w:val="24"/>
        </w:rPr>
        <w:t> </w:t>
      </w:r>
      <w:r>
        <w:rPr>
          <w:rFonts w:ascii="Century Gothic" w:eastAsia="Century Gothic" w:hAnsi="Century Gothic" w:cs="Century Gothic"/>
          <w:color w:val="002060"/>
          <w:sz w:val="22"/>
          <w:szCs w:val="22"/>
        </w:rPr>
        <w:t>Mejorar la calidad de los productos y/o servicios ofrecidos.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Fomentar una cultura organizacional que genere un ambiente de motivación y compromiso entre los funcionarios.</w:t>
      </w:r>
    </w:p>
    <w:tbl>
      <w:tblPr>
        <w:tblStyle w:val="af9"/>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diseñó, implementó y evaluó el Plan Estratégico de Talento Humano, cumpliendo con las directrices normativas y consolidando una cultura organizacional basada en la motivación y el compromiso de los funcionarios.</w:t>
      </w:r>
    </w:p>
    <w:p w:rsidR="00D33F17" w:rsidRDefault="00080EDA">
      <w:pPr>
        <w:shd w:val="clear" w:color="auto" w:fill="FFFFFF"/>
        <w:tabs>
          <w:tab w:val="left" w:pos="5008"/>
        </w:tabs>
        <w:spacing w:line="276" w:lineRule="auto"/>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Generar y desarrollar estrategias de marketing digital que se encuentren en tendencia y posicionen la empresa en el sector inmobiliario y su portafolio.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Ampliar a diferentes niveles la operación comercial de la empresa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Desarrollar e implementar estrategias de marketing digital que sigan las tendencias actuales, consolidando la posición de la empresa en el sector de Gestión Predial y su portafolio.</w:t>
      </w:r>
    </w:p>
    <w:tbl>
      <w:tblPr>
        <w:tblStyle w:val="afa"/>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7500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4000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60%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27%</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4000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avanzó en la actualización de la sede electrónica y en la implementación de estrategias de visibilidad digital, incrementando progresivamente el tráfico de la página web y posicionando la entidad frente a los requisitos de transparencia y acceso a la información</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lastRenderedPageBreak/>
        <w:t>Generar y desarrollar estrategias de marketing digital que se encuentren en tendencia y posición en la empresa en el sector inmobiliario y su portafolio.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Ampliar a diferentes niveles la operación comercial de la empresa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Establecer niveles de negociación que garanticen la rentabilidad.</w:t>
      </w:r>
    </w:p>
    <w:tbl>
      <w:tblPr>
        <w:tblStyle w:val="afb"/>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17</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16</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94%</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17</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17</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47%</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33</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fortalecieron las alianzas comerciales, alcanzando una amplia cobertura en municipios mediante la firma de contratos y la participación en nuevos procesos, generando un aumento notable en propuestas, negocios y oportunidades en el sector de Gestión Predial.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Generar y desarrollar estrategias de marketing digital que se encuentren en tendencia y posicionen la empresa en el sector inmobiliario y su portafolio. </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Ampliar a diferentes niveles la operación comercial de la empresa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Potenciar la línea de administración de propiedad raíz, identificando negocios estratégicos a nivel nacional, departamental y municipal.</w:t>
      </w:r>
    </w:p>
    <w:tbl>
      <w:tblPr>
        <w:tblStyle w:val="afc"/>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fortaleció la captación de nuevos clientes públicos y privados a nivel nacional, departamental y municipal, consolidando la base de clientes estratégicos y ampliando oportunidades de negocio.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lastRenderedPageBreak/>
        <w:t>Generar y desarrollar estrategias de marketing digital que se encuentren en tendencia y posicionen la empresa en el sector inmobiliario y su portafolio.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Ampliar a diferentes niveles la operación comercial de la empresa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Diseñar y ejecutar un (1) programa Anual de mercadeo.</w:t>
      </w:r>
    </w:p>
    <w:tbl>
      <w:tblPr>
        <w:tblStyle w:val="afd"/>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r>
        <w:rPr>
          <w:rFonts w:ascii="Century Gothic" w:eastAsia="Century Gothic" w:hAnsi="Century Gothic" w:cs="Century Gothic"/>
          <w:b/>
          <w:bCs/>
          <w:color w:val="002060"/>
          <w:sz w:val="22"/>
          <w:szCs w:val="22"/>
        </w:rPr>
        <w:tab/>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implementó un plan de mercadeo integral que posiciona a la Agencia como líder en gestión inmobiliaria, comercial e industrial, ofreciendo servicios personalizados que aumentan la rentabilidad, el valor de los inmuebles y la fidelidad de los clientes.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t>Incursionar en nuevas líneas de negocios entre otros, en la realización de avalúos corporativos de alto nivel, de manera especial en intangibles como marcas, patentes y en el mercado comercial, turístico e institucional.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Modernización e innovación de las tecnologías y sistemas de operación.</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Planificar y ejecutar proyectos y programas de manera eficiente y eficaz, que generen ingresos para la Agencia.</w:t>
      </w:r>
    </w:p>
    <w:tbl>
      <w:tblPr>
        <w:tblStyle w:val="afe"/>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25%</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desarrolló un portafolio sólido de proyectos de innovación y sostenibilidad ambiental, incluyendo la formalización de múltiples contratos transparentes, contribuyendo a la generación de ingresos y fortaleciendo la responsabilidad ambiental de la Agencia.</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lastRenderedPageBreak/>
        <w:t>Fortalecer y mantener los sistemas de Gestión con el fin de asegurar la organización interna de los procesos, calidad del servicio y reconocimiento de las partes interesadas.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Mejorar la calidad de los productos y/o servicios ofrecidos.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Mantener los sistemas de gestión vigentes, con el fin de asegurar la organización interna de los procesos, la calidad del servicio y el reconocimiento por parte de las partes interesadas.</w:t>
      </w:r>
    </w:p>
    <w:tbl>
      <w:tblPr>
        <w:tblStyle w:val="aff"/>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33%</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consolidaron los sistemas de gestión documental y archivística, incluyendo instrumentos como PINAR y TRD, asegurando la organización interna, la calidad del servicio y el cumplimiento normativo.</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t>Incursionar en nuevas líneas de negocios entre otros, en la realización de avalúos corporativos de alto nivel, de manera especial en intangibles como marcas, patentes y en el mercado comercial, turístico e institucional.</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Incursionar en nuevas líneas de negocio con enfoque comercial, ambiental e institucional.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Posicionar a la Agencia como operador catastral mediante la expansión de esta línea de negocio.</w:t>
      </w:r>
    </w:p>
    <w:tbl>
      <w:tblPr>
        <w:tblStyle w:val="aff0"/>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Agencia ha consolidado su capacidad operativa en la línea catastral, presentando y radicando numerosas propuestas a entidades públicas y particulares, ejecutando contratos interadministrativos y emitiendo avalúos comerciales que permiten la formalización de procesos de adquisición </w:t>
      </w:r>
      <w:r>
        <w:rPr>
          <w:rFonts w:ascii="Century Gothic" w:eastAsia="Century Gothic" w:hAnsi="Century Gothic" w:cs="Century Gothic"/>
          <w:color w:val="002060"/>
          <w:sz w:val="22"/>
          <w:szCs w:val="22"/>
        </w:rPr>
        <w:lastRenderedPageBreak/>
        <w:t>predial y la toma de decisiones estratégicas en proyectos de infraestructura, legalización y saneamiento predial, fortaleciendo su presencia y liderazgo en el sector.</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t>Incursionar en nuevos negocios de la propiedad raíz con un enfoque especial para asuntos de interés institucional y de comercio en el orden Nacional, Departamental y Municipal.</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Incursionar en nuevas líneas de negocio con enfoque comercial, ambiental e institucional.</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Potenciar la línea de administración de propiedad raíz, identificando negocios estratégicos a nivel nacional, departamental y municipal.</w:t>
      </w:r>
    </w:p>
    <w:tbl>
      <w:tblPr>
        <w:tblStyle w:val="aff1"/>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ha consolidado y ampliado la base de clientes estratégicos, tanto públicos como privados, fortaleciendo la captación y generando mayores oportunidades de negocio, asegurando un crecimiento sostenido en la gestión de propiedad raíz y en la atención integral de clientes.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t>Incursionar en actividades relacionadas con el mercado de la propiedad raíz especialmente con un enfoque de comercio, ambiental e institucional.</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Incursionar en nuevas líneas de negocio con enfoque comercial, ambiental e institucional.</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Planificar y ejecutar proyectos y programas de manera eficiente y eficaz, que generen ingresos para la Agencia.</w:t>
      </w:r>
    </w:p>
    <w:tbl>
      <w:tblPr>
        <w:tblStyle w:val="aff2"/>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16%</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¿Qué se ha hecho?:</w:t>
      </w:r>
      <w:r>
        <w:rPr>
          <w:rFonts w:ascii="Century Gothic" w:eastAsia="Century Gothic" w:hAnsi="Century Gothic" w:cs="Century Gothic"/>
          <w:color w:val="002060"/>
          <w:sz w:val="22"/>
          <w:szCs w:val="22"/>
        </w:rPr>
        <w:t> La Agencia ha desarrollado proyectos y programas con eficiencia, incrementando la rentabilidad y optimizando los recursos, generando ingresos adicionales mediante la gestión de contratos estratégicos y fortaleciendo la sostenibilidad económica de la organización.</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t>Asesoramiento y acompañamiento en ejecución de proyectos de alta necesidad técnica en asuntos de ordenamiento y desarrollo urbanístico.</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Incursionar en nuevas líneas de negocio con enfoque comercial, ambiental e institucional.</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Generar valor económico a través de la optimización de recursos y la mejora de márgenes de rentabilidad.</w:t>
      </w:r>
    </w:p>
    <w:tbl>
      <w:tblPr>
        <w:tblStyle w:val="aff3"/>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r>
    </w:tbl>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 </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28%</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11</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ha logrado maximizar los márgenes de rentabilidad y el valor económico de la Agencia mediante la planificación, asesoramiento y ejecución de proyectos técnicos en gerencia integral, asesorías, interventorías y construcción, asegurando un uso eficiente de los recursos disponibles.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color w:val="002060"/>
          <w:sz w:val="22"/>
          <w:szCs w:val="22"/>
        </w:rPr>
      </w:pPr>
      <w:r>
        <w:rPr>
          <w:rFonts w:ascii="Century Gothic" w:eastAsia="Century Gothic" w:hAnsi="Century Gothic" w:cs="Century Gothic"/>
          <w:b/>
          <w:bCs/>
          <w:color w:val="0070C0"/>
          <w:sz w:val="24"/>
          <w:szCs w:val="24"/>
        </w:rPr>
        <w:t>Apoyar a los municipios del departamento como su principal aliado estratégico a través de la prestación de asistencia técnica y mejoramiento de los procesos en el cumplimiento de los objetivos y actividades relacionadas.</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Incursionar en nuevas líneas de negocio con enfoque comercial, ambiental e institucional</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Ejecutar proyectos de forma eficiente y eficaz, contribuyendo al crecimiento financiero sostenible de la entidad.</w:t>
      </w:r>
    </w:p>
    <w:tbl>
      <w:tblPr>
        <w:tblStyle w:val="aff4"/>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lastRenderedPageBreak/>
        <w:t>Avance acumulado: 32%</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14</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La Agencia ha consolidado la ejecución de proyectos estratégicos, incluyendo contratos interadministrativos y avalúos comerciales, lo que ha permitido un crecimiento financiero sostenible, una gestión predial más eficiente y la toma de decisiones fundamentadas en información técnica confiable.</w:t>
      </w:r>
    </w:p>
    <w:p w:rsidR="00D33F17" w:rsidRDefault="00080EDA">
      <w:pPr>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Análisis del avance frente al Plan de acción</w:t>
      </w:r>
    </w:p>
    <w:p w:rsidR="00D33F17" w:rsidRDefault="00080EDA">
      <w:pPr>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plan de acción de la Agencia Inmobiliaria Industrial y Comercial ha evidenciado avances significativos en todas las actividades propuestas. Las acciones se ejecutan de manera constante y organizada, lo que ha permitido a la empresa mejorar la gestión de sus procesos internos, ofrecer una atención más efectiva a sus clientes y aprovechar los recursos de manera más eficiente. En términos generales, los objetivos se están cumpliendo de manera alineada con las estrategias establecidas en la ordenanza del Plan Departamental de Desarrollo, demostrando un sólido vínculo entre las actividades de la Agencia y las metas del departamento.</w:t>
      </w: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080EDA">
      <w:pPr>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Durante el período, la Empresa Inmobiliaria y de Servicios Logísticos de Cundinamarca (EIC) ha formulado un total de 12 estrategias institucionales. Al 30 de junio de 2025, se registra un avance general del 49%, evidenciando una mejora significativa frente al 12% alcanzado en 2024. De las estrategias definidas, 8 se encuentran en proceso de ejecución y 4 aún no presentan avances, lo que sugiere la necesidad de fortalecer el seguimiento y la gestión operativa para garantizar el cumplimiento de los objetivos trazados.</w:t>
      </w:r>
    </w:p>
    <w:p w:rsidR="00D33F17" w:rsidRDefault="00080EDA">
      <w:pPr>
        <w:rPr>
          <w:color w:val="0F1115"/>
          <w:sz w:val="22"/>
          <w:szCs w:val="22"/>
        </w:rPr>
      </w:pPr>
      <w:r>
        <w:br w:type="page"/>
      </w:r>
    </w:p>
    <w:p w:rsidR="00D33F17" w:rsidRDefault="00080EDA">
      <w:pPr>
        <w:rPr>
          <w:color w:val="0F1115"/>
          <w:sz w:val="22"/>
          <w:szCs w:val="22"/>
        </w:rPr>
      </w:pPr>
      <w:r>
        <w:rPr>
          <w:noProof/>
        </w:rPr>
        <w:lastRenderedPageBreak/>
        <w:drawing>
          <wp:anchor distT="0" distB="0" distL="0" distR="0" simplePos="0" relativeHeight="251661312" behindDoc="1" locked="0" layoutInCell="1" hidden="0" allowOverlap="1">
            <wp:simplePos x="0" y="0"/>
            <wp:positionH relativeFrom="column">
              <wp:posOffset>-1059179</wp:posOffset>
            </wp:positionH>
            <wp:positionV relativeFrom="paragraph">
              <wp:posOffset>-978534</wp:posOffset>
            </wp:positionV>
            <wp:extent cx="7719695" cy="10079355"/>
            <wp:effectExtent l="0" t="0" r="0" b="0"/>
            <wp:wrapNone/>
            <wp:docPr id="2048110478"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11"/>
                    <a:srcRect/>
                    <a:stretch>
                      <a:fillRect/>
                    </a:stretch>
                  </pic:blipFill>
                  <pic:spPr>
                    <a:xfrm>
                      <a:off x="0" y="0"/>
                      <a:ext cx="7719695" cy="10079355"/>
                    </a:xfrm>
                    <a:prstGeom prst="rect">
                      <a:avLst/>
                    </a:prstGeom>
                    <a:ln/>
                  </pic:spPr>
                </pic:pic>
              </a:graphicData>
            </a:graphic>
          </wp:anchor>
        </w:drawing>
      </w:r>
    </w:p>
    <w:p w:rsidR="00D33F17" w:rsidRDefault="00D33F17">
      <w:pPr>
        <w:rPr>
          <w:color w:val="0F1115"/>
          <w:sz w:val="22"/>
          <w:szCs w:val="22"/>
        </w:rPr>
      </w:pPr>
    </w:p>
    <w:p w:rsidR="00D33F17" w:rsidRDefault="00D33F17">
      <w:pPr>
        <w:rPr>
          <w:color w:val="0F1115"/>
          <w:sz w:val="22"/>
          <w:szCs w:val="22"/>
        </w:rPr>
      </w:pPr>
    </w:p>
    <w:p w:rsidR="00D33F17" w:rsidRDefault="00D33F17">
      <w:pPr>
        <w:rPr>
          <w:color w:val="0F1115"/>
          <w:sz w:val="22"/>
          <w:szCs w:val="22"/>
        </w:rPr>
      </w:pPr>
    </w:p>
    <w:p w:rsidR="00D33F17" w:rsidRDefault="00D33F17">
      <w:pPr>
        <w:rPr>
          <w:color w:val="0F1115"/>
          <w:sz w:val="22"/>
          <w:szCs w:val="22"/>
        </w:rPr>
      </w:pPr>
    </w:p>
    <w:p w:rsidR="00D33F17" w:rsidRDefault="00D33F17">
      <w:pPr>
        <w:rPr>
          <w:color w:val="0F1115"/>
          <w:sz w:val="22"/>
          <w:szCs w:val="22"/>
        </w:rPr>
      </w:pPr>
    </w:p>
    <w:p w:rsidR="00D33F17" w:rsidRDefault="00D33F17">
      <w:pPr>
        <w:rPr>
          <w:color w:val="0F1115"/>
          <w:sz w:val="22"/>
          <w:szCs w:val="22"/>
        </w:rPr>
      </w:pPr>
    </w:p>
    <w:p w:rsidR="00D33F17" w:rsidRDefault="00D33F17">
      <w:pPr>
        <w:rPr>
          <w:color w:val="0F1115"/>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spacing w:before="240" w:line="276" w:lineRule="auto"/>
        <w:jc w:val="both"/>
        <w:rPr>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color w:val="002060"/>
          <w:sz w:val="22"/>
          <w:szCs w:val="22"/>
          <w:highlight w:val="white"/>
        </w:rPr>
      </w:pPr>
      <w:r>
        <w:rPr>
          <w:rFonts w:ascii="Century Gothic" w:eastAsia="Century Gothic" w:hAnsi="Century Gothic" w:cs="Century Gothic"/>
          <w:color w:val="002060"/>
          <w:sz w:val="22"/>
          <w:szCs w:val="22"/>
        </w:rPr>
        <w:lastRenderedPageBreak/>
        <w:t xml:space="preserve">EFR, </w:t>
      </w:r>
      <w:r>
        <w:rPr>
          <w:rFonts w:ascii="Century Gothic" w:eastAsia="Century Gothic" w:hAnsi="Century Gothic" w:cs="Century Gothic"/>
          <w:color w:val="002060"/>
          <w:sz w:val="22"/>
          <w:szCs w:val="22"/>
          <w:highlight w:val="white"/>
        </w:rPr>
        <w:t xml:space="preserve"> cuyo objeto social es la gestión, organización y planeación del Sistema Integrado de Transporte Regional en el Departamento de Cundinamarca, bajo la modalidad de transporte terrestre ferroviario y la integración del transporte de pasajeros municipal, atendiendo todas las condiciones que señalen las normas vigentes y las autoridades competentes.</w:t>
      </w:r>
    </w:p>
    <w:p w:rsidR="00D33F17" w:rsidRDefault="00D33F17">
      <w:pPr>
        <w:jc w:val="both"/>
        <w:rPr>
          <w:rFonts w:ascii="Century Gothic" w:eastAsia="Century Gothic" w:hAnsi="Century Gothic" w:cs="Century Gothic"/>
          <w:color w:val="002060"/>
          <w:sz w:val="22"/>
          <w:szCs w:val="22"/>
          <w:highlight w:val="white"/>
        </w:rPr>
      </w:pPr>
    </w:p>
    <w:p w:rsidR="00D33F17" w:rsidRDefault="00D33F17">
      <w:pPr>
        <w:jc w:val="both"/>
        <w:rPr>
          <w:rFonts w:ascii="Century Gothic" w:eastAsia="Century Gothic" w:hAnsi="Century Gothic" w:cs="Century Gothic"/>
          <w:b/>
          <w:bCs/>
          <w:color w:val="002060"/>
          <w:sz w:val="22"/>
          <w:szCs w:val="22"/>
        </w:rPr>
      </w:pPr>
    </w:p>
    <w:p w:rsidR="00D33F17" w:rsidRDefault="00080EDA">
      <w:pP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EFR se ha trazado los siguientes retos para el cuatrienio:</w:t>
      </w:r>
    </w:p>
    <w:p w:rsidR="00D33F17" w:rsidRDefault="00D33F17">
      <w:pPr>
        <w:shd w:val="clear" w:color="auto" w:fill="FFFFFF"/>
        <w:jc w:val="both"/>
        <w:rPr>
          <w:rFonts w:ascii="Century Gothic" w:eastAsia="Century Gothic" w:hAnsi="Century Gothic" w:cs="Century Gothic"/>
          <w:b/>
          <w:bCs/>
          <w:color w:val="002060"/>
          <w:sz w:val="22"/>
          <w:szCs w:val="22"/>
        </w:rPr>
      </w:pPr>
    </w:p>
    <w:p w:rsidR="00D33F17" w:rsidRDefault="00D33F17">
      <w:pPr>
        <w:shd w:val="clear" w:color="auto" w:fill="FFFFFF"/>
        <w:jc w:val="both"/>
        <w:rPr>
          <w:rFonts w:ascii="Century Gothic" w:eastAsia="Century Gothic" w:hAnsi="Century Gothic" w:cs="Century Gothic"/>
          <w:b/>
          <w:bCs/>
          <w:color w:val="002060"/>
          <w:sz w:val="22"/>
          <w:szCs w:val="22"/>
        </w:rPr>
      </w:pPr>
    </w:p>
    <w:p w:rsidR="00D33F17" w:rsidRDefault="00080EDA">
      <w:pPr>
        <w:numPr>
          <w:ilvl w:val="0"/>
          <w:numId w:val="3"/>
        </w:numPr>
        <w:pBdr>
          <w:top w:val="nil"/>
          <w:left w:val="nil"/>
          <w:bottom w:val="nil"/>
          <w:right w:val="nil"/>
          <w:between w:val="nil"/>
        </w:pBdr>
        <w:rPr>
          <w:rFonts w:ascii="Century Gothic" w:eastAsia="Century Gothic" w:hAnsi="Century Gothic" w:cs="Century Gothic"/>
          <w:color w:val="17365D"/>
          <w:sz w:val="22"/>
          <w:szCs w:val="22"/>
        </w:rPr>
      </w:pPr>
      <w:r>
        <w:rPr>
          <w:rFonts w:ascii="Century Gothic" w:eastAsia="Century Gothic" w:hAnsi="Century Gothic" w:cs="Century Gothic"/>
          <w:color w:val="17365D"/>
          <w:sz w:val="22"/>
          <w:szCs w:val="22"/>
        </w:rPr>
        <w:t xml:space="preserve">De acuerdo con el CONPES 3902 donde se estableció la importancia estratégica del proyecto de Regiotram de Occidente en concordancia con esto, desde esta empresa tenemos el reto de poder ofrecer una solución a la movilidad de las poblaciones de la provincia de Sabana de Occidente del departamento, la principal apuesta es la de implementar un sistema de tren ligero eléctrico, para atender la demanda diaria de pasajeros entre los municipios de la Sabana Occidente y Bogotá. Proyecto a desarrollarse sobre el corredor férreo existente desde Facatativá hasta el Distrito Capital, con una longitud de 39,6 km, de los cuales 24,9 km se encuentran en la zona suburbana y 14,7 km en la zona urbana, conectando los municipios de Funza, Mosquera, Madrid y Facatativá con la ciudad de Bogotá </w:t>
      </w:r>
    </w:p>
    <w:p w:rsidR="00D33F17" w:rsidRDefault="00D33F17">
      <w:pPr>
        <w:pBdr>
          <w:top w:val="nil"/>
          <w:left w:val="nil"/>
          <w:bottom w:val="nil"/>
          <w:right w:val="nil"/>
          <w:between w:val="nil"/>
        </w:pBdr>
        <w:ind w:left="720"/>
        <w:rPr>
          <w:rFonts w:ascii="Century Gothic" w:eastAsia="Century Gothic" w:hAnsi="Century Gothic" w:cs="Century Gothic"/>
          <w:color w:val="17365D"/>
          <w:sz w:val="22"/>
          <w:szCs w:val="22"/>
        </w:rPr>
      </w:pPr>
    </w:p>
    <w:p w:rsidR="00D33F17" w:rsidRDefault="00080EDA">
      <w:pPr>
        <w:numPr>
          <w:ilvl w:val="0"/>
          <w:numId w:val="3"/>
        </w:numPr>
        <w:pBdr>
          <w:top w:val="nil"/>
          <w:left w:val="nil"/>
          <w:bottom w:val="nil"/>
          <w:right w:val="nil"/>
          <w:between w:val="nil"/>
        </w:pBdr>
        <w:rPr>
          <w:rFonts w:ascii="Century Gothic" w:eastAsia="Century Gothic" w:hAnsi="Century Gothic" w:cs="Century Gothic"/>
          <w:color w:val="17365D"/>
          <w:sz w:val="22"/>
          <w:szCs w:val="22"/>
        </w:rPr>
      </w:pPr>
      <w:r>
        <w:rPr>
          <w:rFonts w:ascii="Century Gothic" w:eastAsia="Century Gothic" w:hAnsi="Century Gothic" w:cs="Century Gothic"/>
          <w:color w:val="17365D"/>
          <w:sz w:val="22"/>
          <w:szCs w:val="22"/>
        </w:rPr>
        <w:t xml:space="preserve">Otro de los principales retos a afrontar desde la Empresa Férrea Regional en su labor de conexión con la capital, es la reducción de los tiempos en el desplazamiento de los cundinamarqueses. Es por eso que, se tiene presente la mejora en el sistema de movilidad entre Soacha y Bogotá que moviliza 180.000 pasajeros diariamente. Además, con el proyecto de Transmilenio y extensión de la Troncal NQS se espera cumplir con la necesidad de puentes peatonales, vehiculares y estaciones del sistema integrado que extienda la capacidad para la unión con la capital. </w:t>
      </w:r>
    </w:p>
    <w:p w:rsidR="00D33F17" w:rsidRDefault="00D33F17">
      <w:pPr>
        <w:pBdr>
          <w:top w:val="nil"/>
          <w:left w:val="nil"/>
          <w:bottom w:val="nil"/>
          <w:right w:val="nil"/>
          <w:between w:val="nil"/>
        </w:pBdr>
        <w:ind w:left="720"/>
        <w:rPr>
          <w:rFonts w:ascii="Century Gothic" w:eastAsia="Century Gothic" w:hAnsi="Century Gothic" w:cs="Century Gothic"/>
          <w:color w:val="17365D"/>
          <w:sz w:val="22"/>
          <w:szCs w:val="22"/>
        </w:rPr>
      </w:pPr>
    </w:p>
    <w:p w:rsidR="00D33F17" w:rsidRDefault="00D33F17">
      <w:pPr>
        <w:pBdr>
          <w:top w:val="nil"/>
          <w:left w:val="nil"/>
          <w:bottom w:val="nil"/>
          <w:right w:val="nil"/>
          <w:between w:val="nil"/>
        </w:pBdr>
        <w:ind w:left="720"/>
        <w:rPr>
          <w:rFonts w:ascii="Century Gothic" w:eastAsia="Century Gothic" w:hAnsi="Century Gothic" w:cs="Century Gothic"/>
          <w:color w:val="17365D"/>
          <w:sz w:val="22"/>
          <w:szCs w:val="22"/>
        </w:rPr>
      </w:pPr>
    </w:p>
    <w:p w:rsidR="00D33F17" w:rsidRDefault="00080EDA">
      <w:pPr>
        <w:numPr>
          <w:ilvl w:val="0"/>
          <w:numId w:val="3"/>
        </w:numPr>
        <w:pBdr>
          <w:top w:val="nil"/>
          <w:left w:val="nil"/>
          <w:bottom w:val="nil"/>
          <w:right w:val="nil"/>
          <w:between w:val="nil"/>
        </w:pBdr>
        <w:rPr>
          <w:rFonts w:ascii="Century Gothic" w:eastAsia="Century Gothic" w:hAnsi="Century Gothic" w:cs="Century Gothic"/>
          <w:color w:val="17365D"/>
          <w:sz w:val="22"/>
          <w:szCs w:val="22"/>
        </w:rPr>
      </w:pPr>
      <w:r>
        <w:rPr>
          <w:rFonts w:ascii="Century Gothic" w:eastAsia="Century Gothic" w:hAnsi="Century Gothic" w:cs="Century Gothic"/>
          <w:color w:val="17365D"/>
          <w:sz w:val="22"/>
          <w:szCs w:val="22"/>
        </w:rPr>
        <w:t>Debido a su reciente creación la Empresa Férrea Regional requiere fortalecer su sistema de gestión que garantice la efectividad y sostenibilidad de los procesos y la calidad de sus productos y proyectos, así como garantizar los recursos técnicos, tecnológicos, físicos y de comunicación que logren una eficiente operación de la Empresa. Con el fin de avanzar en este sentido, la EFR decidió implementar de manera progresiva el Sistema de Gestión de la Calidad, se actualizó la plataforma estratégica de la EFR y se adoptó el sistema integrado de gestión que incluye los requisitos del Modelo Integrado de Planeación y Gestión- MIPG, y se obtuvo la certificación de calidad ISO 9001:2015. La empresa debe continuar mejorando su sistema de gestión con la implementación de los planes institucionales y el mantenimiento de la certificación de calidad.</w:t>
      </w:r>
    </w:p>
    <w:p w:rsidR="00D33F17" w:rsidRDefault="00D33F17">
      <w:pPr>
        <w:rPr>
          <w:rFonts w:ascii="Century Gothic" w:eastAsia="Century Gothic" w:hAnsi="Century Gothic" w:cs="Century Gothic"/>
          <w:color w:val="17365D"/>
          <w:sz w:val="22"/>
          <w:szCs w:val="22"/>
        </w:rPr>
      </w:pPr>
    </w:p>
    <w:tbl>
      <w:tblPr>
        <w:tblStyle w:val="aff5"/>
        <w:tblW w:w="6674" w:type="dxa"/>
        <w:jc w:val="center"/>
        <w:tblInd w:w="0" w:type="dxa"/>
        <w:tblLayout w:type="fixed"/>
        <w:tblLook w:val="0400" w:firstRow="0" w:lastRow="0" w:firstColumn="0" w:lastColumn="0" w:noHBand="0" w:noVBand="1"/>
      </w:tblPr>
      <w:tblGrid>
        <w:gridCol w:w="2256"/>
        <w:gridCol w:w="2491"/>
        <w:gridCol w:w="1927"/>
      </w:tblGrid>
      <w:tr w:rsidR="00D33F17">
        <w:trPr>
          <w:trHeight w:val="550"/>
          <w:jc w:val="center"/>
        </w:trPr>
        <w:tc>
          <w:tcPr>
            <w:tcW w:w="667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t>Empresa Férrea Regional EFR</w:t>
            </w:r>
          </w:p>
        </w:tc>
      </w:tr>
      <w:tr w:rsidR="00D33F17">
        <w:trPr>
          <w:trHeight w:val="599"/>
          <w:jc w:val="center"/>
        </w:trPr>
        <w:tc>
          <w:tcPr>
            <w:tcW w:w="2256"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2491"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1927"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trPr>
          <w:trHeight w:val="40"/>
          <w:jc w:val="center"/>
        </w:trPr>
        <w:tc>
          <w:tcPr>
            <w:tcW w:w="2256"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36"/>
                <w:szCs w:val="36"/>
              </w:rPr>
            </w:pPr>
            <w:r>
              <w:rPr>
                <w:rFonts w:ascii="Century Gothic" w:eastAsia="Century Gothic" w:hAnsi="Century Gothic" w:cs="Century Gothic"/>
                <w:b/>
                <w:bCs/>
                <w:color w:val="002060"/>
                <w:sz w:val="26"/>
                <w:szCs w:val="26"/>
              </w:rPr>
              <w:t>13</w:t>
            </w:r>
          </w:p>
        </w:tc>
        <w:tc>
          <w:tcPr>
            <w:tcW w:w="2491"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10</w:t>
            </w:r>
          </w:p>
        </w:tc>
        <w:tc>
          <w:tcPr>
            <w:tcW w:w="1927"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3</w:t>
            </w:r>
          </w:p>
        </w:tc>
      </w:tr>
    </w:tbl>
    <w:p w:rsidR="00D33F17" w:rsidRDefault="00D33F17">
      <w:pPr>
        <w:shd w:val="clear" w:color="auto" w:fill="FFFFFF"/>
        <w:jc w:val="both"/>
        <w:rPr>
          <w:rFonts w:ascii="Century Gothic" w:eastAsia="Century Gothic" w:hAnsi="Century Gothic" w:cs="Century Gothic"/>
          <w:b/>
          <w:bCs/>
          <w:color w:val="002060"/>
          <w:sz w:val="22"/>
          <w:szCs w:val="22"/>
        </w:rPr>
      </w:pPr>
    </w:p>
    <w:p w:rsidR="00D33F17" w:rsidRDefault="00080EDA">
      <w:pPr>
        <w:jc w:val="center"/>
        <w:rPr>
          <w:rFonts w:ascii="Century Gothic" w:eastAsia="Century Gothic" w:hAnsi="Century Gothic" w:cs="Century Gothic"/>
          <w:b/>
          <w:bCs/>
          <w:color w:val="00B0F0"/>
          <w:sz w:val="28"/>
          <w:szCs w:val="28"/>
        </w:rPr>
      </w:pPr>
      <w:r>
        <w:rPr>
          <w:rFonts w:ascii="Century Gothic" w:eastAsia="Century Gothic" w:hAnsi="Century Gothic" w:cs="Century Gothic"/>
          <w:b/>
          <w:bCs/>
          <w:color w:val="00B0F0"/>
          <w:sz w:val="28"/>
          <w:szCs w:val="28"/>
        </w:rPr>
        <w:t>ESTRATEGIAS:</w:t>
      </w:r>
    </w:p>
    <w:p w:rsidR="00D33F17" w:rsidRDefault="00D33F17">
      <w:pPr>
        <w:jc w:val="center"/>
        <w:rPr>
          <w:rFonts w:ascii="Century Gothic" w:eastAsia="Century Gothic" w:hAnsi="Century Gothic" w:cs="Century Gothic"/>
          <w:b/>
          <w:bCs/>
          <w:color w:val="00B0F0"/>
          <w:sz w:val="28"/>
          <w:szCs w:val="28"/>
        </w:rPr>
      </w:pPr>
    </w:p>
    <w:p w:rsidR="00D33F17" w:rsidRDefault="00080EDA">
      <w:pPr>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 </w:t>
      </w:r>
    </w:p>
    <w:p w:rsidR="00D33F17" w:rsidRDefault="00080EDA">
      <w:pPr>
        <w:pBdr>
          <w:top w:val="nil"/>
          <w:left w:val="nil"/>
          <w:bottom w:val="nil"/>
          <w:right w:val="nil"/>
          <w:between w:val="nil"/>
        </w:pBd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Puesta en marcha del sistema de transporte férreo de pasajeros - Regiotram de Occidente.</w:t>
      </w:r>
    </w:p>
    <w:p w:rsidR="00D33F17" w:rsidRDefault="00D33F17">
      <w:pPr>
        <w:pBdr>
          <w:top w:val="nil"/>
          <w:left w:val="nil"/>
          <w:bottom w:val="nil"/>
          <w:right w:val="nil"/>
          <w:between w:val="nil"/>
        </w:pBdr>
        <w:jc w:val="both"/>
        <w:rPr>
          <w:rFonts w:ascii="Century Gothic" w:eastAsia="Century Gothic" w:hAnsi="Century Gothic" w:cs="Century Gothic"/>
          <w:b/>
          <w:bCs/>
          <w:color w:val="0070C0"/>
          <w:sz w:val="24"/>
          <w:szCs w:val="24"/>
        </w:rPr>
      </w:pPr>
    </w:p>
    <w:p w:rsidR="00D33F17" w:rsidRDefault="00080EDA">
      <w:pP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 xml:space="preserve">De acuerdo con el CONPES 3902 donde se estableció la importancia estratégica del proyecto de Regiotram de Occidente en concordancia con esto, desde esta empresa tenemos el reto de poder ofrecer una solución a la movilidad de las poblaciones de la provincia de Sabana de Occidente del departamento, la principal apuesta es la de implementar un sistema de tren ligero eléctrico, para atender la demanda diaria de pasajeros entre los municipios de la Sabana Occidente y Bogotá. Proyecto a desarrollarse sobre el corredor férreo existente desde Facatativá hasta el Distrito Capital, con una longitud de 39,6 km, de los cuales 24,9 km se encuentran en la zona suburbana y 14,7 km en la zona urbana, conectando los municipios de Funza, Mosquera, Madrid y Facatativá con la ciudad de Bogotá </w:t>
      </w: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Realizar seguimiento y acompañamiento al desarrollo de la primera fase del Regiotram de Occidente por parte del ente gestor.</w:t>
      </w:r>
    </w:p>
    <w:p w:rsidR="00D33F17" w:rsidRDefault="00D33F17">
      <w:pPr>
        <w:jc w:val="both"/>
        <w:rPr>
          <w:rFonts w:ascii="Century Gothic" w:eastAsia="Century Gothic" w:hAnsi="Century Gothic" w:cs="Century Gothic"/>
          <w:color w:val="002060"/>
          <w:sz w:val="22"/>
          <w:szCs w:val="22"/>
        </w:rPr>
      </w:pPr>
    </w:p>
    <w:tbl>
      <w:tblPr>
        <w:tblStyle w:val="aff6"/>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color w:val="205968"/>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42%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42%</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shd w:val="clear" w:color="auto" w:fill="FFFFFF"/>
        <w:tabs>
          <w:tab w:val="left" w:pos="5008"/>
        </w:tabs>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En la vigencia se alcanzó un 25.48% de avance en la construcción del taller El corzo, un 84.20 % de avance en la elaboración de estudios y diseños por parte de la Concesionaria, para un total del avance del proyecto del 27,72%. Se suscribió el Acta de Inicio de Fase de </w:t>
      </w:r>
      <w:r>
        <w:rPr>
          <w:rFonts w:ascii="Century Gothic" w:eastAsia="Century Gothic" w:hAnsi="Century Gothic" w:cs="Century Gothic"/>
          <w:color w:val="002060"/>
          <w:sz w:val="22"/>
          <w:szCs w:val="22"/>
        </w:rPr>
        <w:lastRenderedPageBreak/>
        <w:t>Construcción del Contrato de Concesión 001 de 2020, se realizó todo el proceso de reprogramación de vigencias futuras</w:t>
      </w:r>
    </w:p>
    <w:p w:rsidR="00D33F17" w:rsidRDefault="00D33F17">
      <w:pPr>
        <w:shd w:val="clear" w:color="auto" w:fill="FFFFFF"/>
        <w:tabs>
          <w:tab w:val="left" w:pos="5008"/>
        </w:tabs>
        <w:ind w:right="660"/>
        <w:jc w:val="both"/>
        <w:rPr>
          <w:rFonts w:ascii="Century Gothic" w:eastAsia="Century Gothic" w:hAnsi="Century Gothic" w:cs="Century Gothic"/>
          <w:color w:val="002060"/>
          <w:sz w:val="22"/>
          <w:szCs w:val="22"/>
        </w:rPr>
      </w:pPr>
    </w:p>
    <w:p w:rsidR="00D33F17" w:rsidRDefault="00080EDA">
      <w:pPr>
        <w:shd w:val="clear" w:color="auto" w:fill="FFFFFF"/>
        <w:tabs>
          <w:tab w:val="left" w:pos="5008"/>
        </w:tabs>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Puesta en marcha del sistema de transporte férreo de pasajeros - Regiotram de Occidente.</w:t>
      </w:r>
    </w:p>
    <w:p w:rsidR="00D33F17" w:rsidRDefault="00D33F17">
      <w:pPr>
        <w:shd w:val="clear" w:color="auto" w:fill="FFFFFF"/>
        <w:tabs>
          <w:tab w:val="left" w:pos="5008"/>
        </w:tabs>
        <w:ind w:right="660"/>
        <w:jc w:val="both"/>
        <w:rPr>
          <w:rFonts w:ascii="Century Gothic" w:eastAsia="Century Gothic" w:hAnsi="Century Gothic" w:cs="Century Gothic"/>
          <w:b/>
          <w:bCs/>
          <w:color w:val="548DD4"/>
          <w:sz w:val="24"/>
          <w:szCs w:val="24"/>
        </w:rPr>
      </w:pPr>
    </w:p>
    <w:p w:rsidR="00D33F17" w:rsidRDefault="00080EDA">
      <w:pPr>
        <w:rPr>
          <w:rFonts w:ascii="Century Gothic" w:eastAsia="Century Gothic" w:hAnsi="Century Gothic" w:cs="Century Gothic"/>
          <w:color w:val="17365D"/>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17365D"/>
          <w:sz w:val="22"/>
          <w:szCs w:val="22"/>
        </w:rPr>
        <w:t xml:space="preserve">De acuerdo con el CONPES 3902 donde se estableció la importancia estratégica del proyecto de Regiotram de Occidente en concordancia con esto, desde esta empresa tenemos el reto de poder ofrecer una solución a la movilidad de las poblaciones de la provincia de Sabana de Occidente del departamento, la principal apuesta es la de implementar un sistema de tren ligero eléctrico, para atender la demanda diaria de pasajeros entre los municipios de la Sabana Occidente y Bogotá. Proyecto a desarrollarse sobre el corredor férreo existente desde Facatativá hasta el Distrito Capital, con una longitud de 39,6 km, de los cuales 24,9 km se encuentran en la zona suburbana y 14,7 km en la zona urbana, conectando los municipios de Funza, Mosquera, Madrid y Facatativá con la ciudad de Bogotá </w:t>
      </w:r>
    </w:p>
    <w:p w:rsidR="00D33F17" w:rsidRDefault="00D33F17">
      <w:pPr>
        <w:shd w:val="clear" w:color="auto" w:fill="FFFFFF"/>
        <w:tabs>
          <w:tab w:val="left" w:pos="5008"/>
        </w:tabs>
        <w:ind w:right="660"/>
        <w:jc w:val="both"/>
        <w:rPr>
          <w:rFonts w:ascii="Century Gothic" w:eastAsia="Century Gothic" w:hAnsi="Century Gothic" w:cs="Century Gothic"/>
          <w:b/>
          <w:bCs/>
          <w:color w:val="548DD4"/>
          <w:sz w:val="24"/>
          <w:szCs w:val="24"/>
        </w:rPr>
      </w:pPr>
    </w:p>
    <w:p w:rsidR="00D33F17" w:rsidRDefault="00080EDA">
      <w:pPr>
        <w:shd w:val="clear" w:color="auto" w:fill="FFFFFF"/>
        <w:tabs>
          <w:tab w:val="left" w:pos="5008"/>
        </w:tabs>
        <w:ind w:right="66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Sistema de transporte férreo de pasajeros - Regiotram de Occidente  En Operación</w:t>
      </w:r>
    </w:p>
    <w:p w:rsidR="00D33F17" w:rsidRDefault="00D33F17">
      <w:pPr>
        <w:shd w:val="clear" w:color="auto" w:fill="FFFFFF"/>
        <w:tabs>
          <w:tab w:val="left" w:pos="5008"/>
        </w:tabs>
        <w:ind w:right="660"/>
        <w:jc w:val="both"/>
        <w:rPr>
          <w:rFonts w:ascii="Century Gothic" w:eastAsia="Century Gothic" w:hAnsi="Century Gothic" w:cs="Century Gothic"/>
          <w:color w:val="002060"/>
          <w:sz w:val="22"/>
          <w:szCs w:val="22"/>
        </w:rPr>
      </w:pPr>
    </w:p>
    <w:tbl>
      <w:tblPr>
        <w:tblStyle w:val="aff7"/>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28%</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27,72%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12%</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2.28%</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shd w:val="clear" w:color="auto" w:fill="FFFFFF"/>
        <w:tabs>
          <w:tab w:val="left" w:pos="5008"/>
        </w:tabs>
        <w:ind w:right="660"/>
        <w:jc w:val="both"/>
        <w:rPr>
          <w:rFonts w:ascii="Century Gothic" w:eastAsia="Century Gothic" w:hAnsi="Century Gothic" w:cs="Century Gothic"/>
          <w:color w:val="002060"/>
          <w:sz w:val="22"/>
          <w:szCs w:val="22"/>
        </w:rPr>
      </w:pPr>
    </w:p>
    <w:p w:rsidR="00D33F17" w:rsidRDefault="00D33F17">
      <w:pPr>
        <w:shd w:val="clear" w:color="auto" w:fill="FFFFFF"/>
        <w:tabs>
          <w:tab w:val="left" w:pos="5008"/>
        </w:tabs>
        <w:ind w:right="660"/>
        <w:jc w:val="both"/>
        <w:rPr>
          <w:rFonts w:ascii="Century Gothic" w:eastAsia="Century Gothic" w:hAnsi="Century Gothic" w:cs="Century Gothic"/>
          <w:color w:val="002060"/>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30%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30%</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En la vigencia se alcanzó un 25.48% de avance en la construcción del taller El corzo, un 84.20 % de avance en la elaboración de estudios y diseños por parte de la Concesionaria, para un total del avance del proyecto del 27,72%. Se suscribió el Acta de Inicio de Fase de Construcción del Contrato de Concesión 001 de 2020, se realizó todo el proceso de reprogramación de vigencias futuras.</w:t>
      </w: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b/>
          <w:bCs/>
          <w:color w:val="0070C0"/>
        </w:rPr>
      </w:pPr>
      <w:r>
        <w:rPr>
          <w:rFonts w:ascii="Century Gothic" w:eastAsia="Century Gothic" w:hAnsi="Century Gothic" w:cs="Century Gothic"/>
          <w:b/>
          <w:bCs/>
          <w:color w:val="0070C0"/>
          <w:sz w:val="24"/>
          <w:szCs w:val="24"/>
        </w:rPr>
        <w:t>Puesta en marcha de la extensión de la troncal NQS del SITM a Soacha fases II y III.</w:t>
      </w:r>
    </w:p>
    <w:p w:rsidR="00D33F17" w:rsidRDefault="00D33F17">
      <w:pPr>
        <w:jc w:val="both"/>
        <w:rPr>
          <w:rFonts w:ascii="Century Gothic" w:eastAsia="Century Gothic" w:hAnsi="Century Gothic" w:cs="Century Gothic"/>
          <w:b/>
          <w:bCs/>
          <w:color w:val="0070C0"/>
          <w:sz w:val="24"/>
          <w:szCs w:val="24"/>
        </w:rPr>
      </w:pPr>
    </w:p>
    <w:p w:rsidR="00D33F17" w:rsidRDefault="00080EDA">
      <w:pPr>
        <w:rPr>
          <w:rFonts w:ascii="Century Gothic" w:eastAsia="Century Gothic" w:hAnsi="Century Gothic" w:cs="Century Gothic"/>
          <w:color w:val="17365D"/>
          <w:sz w:val="22"/>
          <w:szCs w:val="22"/>
        </w:rPr>
      </w:pPr>
      <w:r>
        <w:rPr>
          <w:rFonts w:ascii="Century Gothic" w:eastAsia="Century Gothic" w:hAnsi="Century Gothic" w:cs="Century Gothic"/>
          <w:b/>
          <w:bCs/>
          <w:color w:val="002060"/>
          <w:sz w:val="22"/>
          <w:szCs w:val="22"/>
        </w:rPr>
        <w:t>Reto:</w:t>
      </w:r>
      <w:r>
        <w:rPr>
          <w:rFonts w:ascii="Arial" w:eastAsia="Arial" w:hAnsi="Arial" w:cs="Arial"/>
          <w:color w:val="000000"/>
          <w:sz w:val="28"/>
          <w:szCs w:val="28"/>
        </w:rPr>
        <w:t xml:space="preserve"> </w:t>
      </w:r>
      <w:r>
        <w:rPr>
          <w:rFonts w:ascii="Century Gothic" w:eastAsia="Century Gothic" w:hAnsi="Century Gothic" w:cs="Century Gothic"/>
          <w:color w:val="17365D"/>
          <w:sz w:val="22"/>
          <w:szCs w:val="22"/>
        </w:rPr>
        <w:t xml:space="preserve">Otro de los principales retos a afrontar desde la Empresa Férrea Regional en su labor de conexión con la capital, es la reducción de los tiempos en el desplazamiento de los cundinamarqueses. Es por eso que, se tiene presente la mejora en el sistema de movilidad entre Soacha y Bogotá que moviliza 180.000 </w:t>
      </w:r>
      <w:r>
        <w:rPr>
          <w:rFonts w:ascii="Century Gothic" w:eastAsia="Century Gothic" w:hAnsi="Century Gothic" w:cs="Century Gothic"/>
          <w:color w:val="17365D"/>
          <w:sz w:val="22"/>
          <w:szCs w:val="22"/>
        </w:rPr>
        <w:lastRenderedPageBreak/>
        <w:t xml:space="preserve">pasajeros diariamente. Además, con el proyecto de Transmilenio y extensión de la Troncal NQS se espera cumplir con la necesidad de puentes peatonales, vehiculares y estaciones del sistema integrado que extienda la capacidad para la unión con la capital. </w:t>
      </w:r>
    </w:p>
    <w:p w:rsidR="00D33F17" w:rsidRDefault="00D33F17">
      <w:pPr>
        <w:jc w:val="both"/>
        <w:rPr>
          <w:rFonts w:ascii="Arial" w:eastAsia="Arial" w:hAnsi="Arial" w:cs="Arial"/>
          <w:color w:val="000000"/>
          <w:sz w:val="28"/>
          <w:szCs w:val="28"/>
        </w:rPr>
      </w:pPr>
    </w:p>
    <w:p w:rsidR="00D33F17" w:rsidRDefault="00080EDA">
      <w:pPr>
        <w:jc w:val="both"/>
        <w:rPr>
          <w:rFonts w:ascii="Century Gothic" w:eastAsia="Century Gothic" w:hAnsi="Century Gothic" w:cs="Century Gothic"/>
          <w:color w:val="17365D"/>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17365D"/>
          <w:sz w:val="22"/>
          <w:szCs w:val="22"/>
        </w:rPr>
        <w:t>Seguimiento y acompañamiento al desarrollo del proyecto de la extensión de la troncal NQS del SITM a Soacha en sus fases II y III</w:t>
      </w:r>
    </w:p>
    <w:p w:rsidR="00D33F17" w:rsidRDefault="00D33F17">
      <w:pPr>
        <w:jc w:val="both"/>
        <w:rPr>
          <w:rFonts w:ascii="Century Gothic" w:eastAsia="Century Gothic" w:hAnsi="Century Gothic" w:cs="Century Gothic"/>
          <w:color w:val="205968"/>
          <w:sz w:val="22"/>
          <w:szCs w:val="22"/>
        </w:rPr>
      </w:pPr>
    </w:p>
    <w:tbl>
      <w:tblPr>
        <w:tblStyle w:val="aff8"/>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23%</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18%</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jc w:val="both"/>
        <w:rPr>
          <w:rFonts w:ascii="Century Gothic" w:eastAsia="Century Gothic" w:hAnsi="Century Gothic" w:cs="Century Gothic"/>
          <w:color w:val="205968"/>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41%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41%</w:t>
      </w:r>
    </w:p>
    <w:p w:rsidR="00D33F17" w:rsidRDefault="00D33F17">
      <w:pPr>
        <w:jc w:val="both"/>
        <w:rPr>
          <w:rFonts w:ascii="Century Gothic" w:eastAsia="Century Gothic" w:hAnsi="Century Gothic" w:cs="Century Gothic"/>
          <w:b/>
          <w:bCs/>
          <w:color w:val="0070C0"/>
          <w:sz w:val="24"/>
          <w:szCs w:val="24"/>
        </w:rPr>
      </w:pPr>
    </w:p>
    <w:p w:rsidR="00D33F17" w:rsidRDefault="00080EDA">
      <w:pPr>
        <w:ind w:right="49"/>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realizó modificación al Contrato de Obra y el contrato de Interventoría, y se prorrogaron los contratos, de tal forma que aumentó el plazo de la etapa de construcción. Así las cosas, una vez se entregó por parte de la interventoría el Cronograma de Obra del contrato antes mencionado, se realizó el ajuste de la curva general del Proyecto. Se suscribió el otro si 11 del Lote 1 y el otro si de la Interventoría. Subdividir la ejecución de los muros, pagos parciales y adición de ajustes de diseños de las estaciones sencillas. Se logró la disponibilidad de los cuatro (4) predios requeridos por el proyecto TM Fase II y III con la suscripción de permisos de intervención voluntaria.</w:t>
      </w:r>
    </w:p>
    <w:p w:rsidR="00D33F17" w:rsidRDefault="00D33F17">
      <w:pPr>
        <w:ind w:right="49"/>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Puesta en marcha de la extensión de la troncal NQS del SITM a Soacha fases II y III.</w:t>
      </w:r>
    </w:p>
    <w:p w:rsidR="00D33F17" w:rsidRDefault="00D33F17">
      <w:pPr>
        <w:jc w:val="both"/>
        <w:rPr>
          <w:rFonts w:ascii="Century Gothic" w:eastAsia="Century Gothic" w:hAnsi="Century Gothic" w:cs="Century Gothic"/>
          <w:b/>
          <w:bCs/>
          <w:color w:val="0070C0"/>
          <w:sz w:val="24"/>
          <w:szCs w:val="24"/>
        </w:rPr>
      </w:pPr>
    </w:p>
    <w:p w:rsidR="00D33F17" w:rsidRDefault="00080EDA">
      <w:pPr>
        <w:rPr>
          <w:rFonts w:ascii="Century Gothic" w:eastAsia="Century Gothic" w:hAnsi="Century Gothic" w:cs="Century Gothic"/>
          <w:color w:val="17365D"/>
          <w:sz w:val="22"/>
          <w:szCs w:val="22"/>
        </w:rPr>
      </w:pPr>
      <w:r>
        <w:rPr>
          <w:rFonts w:ascii="Century Gothic" w:eastAsia="Century Gothic" w:hAnsi="Century Gothic" w:cs="Century Gothic"/>
          <w:b/>
          <w:bCs/>
          <w:color w:val="002060"/>
          <w:sz w:val="22"/>
          <w:szCs w:val="22"/>
        </w:rPr>
        <w:t>Reto:</w:t>
      </w:r>
      <w:r>
        <w:rPr>
          <w:rFonts w:ascii="Arial" w:eastAsia="Arial" w:hAnsi="Arial" w:cs="Arial"/>
          <w:color w:val="000000"/>
          <w:sz w:val="28"/>
          <w:szCs w:val="28"/>
        </w:rPr>
        <w:t xml:space="preserve"> </w:t>
      </w:r>
      <w:r>
        <w:rPr>
          <w:rFonts w:ascii="Century Gothic" w:eastAsia="Century Gothic" w:hAnsi="Century Gothic" w:cs="Century Gothic"/>
          <w:color w:val="17365D"/>
          <w:sz w:val="22"/>
          <w:szCs w:val="22"/>
        </w:rPr>
        <w:t xml:space="preserve">Otro de los principales retos a afrontar desde la Empresa Férrea Regional en su labor de conexión con la capital, es la reducción de los tiempos en el desplazamiento de los cundinamarqueses. Es por eso que, se tiene presente la mejora en el sistema de movilidad entre Soacha y Bogotá que moviliza 180.000 pasajeros diariamente. Además, con el proyecto de Transmilenio y extensión de la Troncal NQS se espera cumplir con la necesidad de puentes peatonales, vehiculares y estaciones del sistema integrado que extienda la capacidad para la unión con la capital. </w:t>
      </w:r>
    </w:p>
    <w:p w:rsidR="00D33F17" w:rsidRDefault="00D33F17">
      <w:pPr>
        <w:jc w:val="both"/>
        <w:rPr>
          <w:rFonts w:ascii="Arial" w:eastAsia="Arial" w:hAnsi="Arial" w:cs="Arial"/>
          <w:color w:val="000000"/>
          <w:sz w:val="28"/>
          <w:szCs w:val="28"/>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b/>
          <w:bCs/>
          <w:color w:val="0070C0"/>
        </w:rPr>
        <w:t xml:space="preserve"> </w:t>
      </w:r>
      <w:r>
        <w:rPr>
          <w:rFonts w:ascii="Century Gothic" w:eastAsia="Century Gothic" w:hAnsi="Century Gothic" w:cs="Century Gothic"/>
          <w:color w:val="002060"/>
          <w:sz w:val="22"/>
          <w:szCs w:val="22"/>
        </w:rPr>
        <w:t>Entrada en operación de la extensión de la troncal NQS del SITM a Soacha en sus fases II y III</w:t>
      </w:r>
    </w:p>
    <w:p w:rsidR="00D33F17" w:rsidRDefault="00D33F17">
      <w:pPr>
        <w:jc w:val="both"/>
        <w:rPr>
          <w:rFonts w:ascii="Century Gothic" w:eastAsia="Century Gothic" w:hAnsi="Century Gothic" w:cs="Century Gothic"/>
          <w:color w:val="002060"/>
          <w:sz w:val="22"/>
          <w:szCs w:val="22"/>
        </w:rPr>
      </w:pPr>
    </w:p>
    <w:tbl>
      <w:tblPr>
        <w:tblStyle w:val="aff9"/>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19%</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jc w:val="both"/>
        <w:rPr>
          <w:rFonts w:ascii="Century Gothic" w:eastAsia="Century Gothic" w:hAnsi="Century Gothic" w:cs="Century Gothic"/>
          <w:b/>
          <w:bCs/>
          <w:color w:val="0070C0"/>
        </w:rPr>
      </w:pPr>
    </w:p>
    <w:p w:rsidR="00D33F17" w:rsidRDefault="00D33F17">
      <w:pPr>
        <w:ind w:right="660"/>
        <w:jc w:val="both"/>
        <w:rPr>
          <w:rFonts w:ascii="Century Gothic" w:eastAsia="Century Gothic" w:hAnsi="Century Gothic" w:cs="Century Gothic"/>
          <w:color w:val="002060"/>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62%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62%</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ind w:right="49"/>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realizó modificación al Contrato de Obra y el contrato de Interventoría, y se prorrogaron los contratos, de tal forma que aumentó el plazo de la etapa de construcción. Así las cosas, una vez se entregó por parte de la interventoría el Cronograma de Obra del contrato antes mencionado, se realizó el ajuste de la curva general del Proyecto. Se suscribió el otro si 11 del Lote 1 y el otro si de la Interventoría. Subdividir la ejecución de los muros, pagos parciales y adición de ajustes de diseños de las estaciones sencillas. Se logró la disponibilidad de los cuatro (4) predios requeridos por el proyecto TM Fase II y III con la suscripción de permisos de intervención voluntaria.</w:t>
      </w:r>
    </w:p>
    <w:p w:rsidR="00D33F17" w:rsidRDefault="00D33F17">
      <w:pPr>
        <w:ind w:right="660"/>
        <w:jc w:val="both"/>
        <w:rPr>
          <w:rFonts w:ascii="Century Gothic" w:eastAsia="Century Gothic" w:hAnsi="Century Gothic" w:cs="Century Gothic"/>
          <w:color w:val="002060"/>
          <w:sz w:val="22"/>
          <w:szCs w:val="22"/>
        </w:rPr>
      </w:pPr>
    </w:p>
    <w:p w:rsidR="00D33F17" w:rsidRDefault="00080EDA">
      <w:pPr>
        <w:rPr>
          <w:rFonts w:ascii="Century Gothic" w:eastAsia="Century Gothic" w:hAnsi="Century Gothic" w:cs="Century Gothic"/>
          <w:b/>
          <w:bCs/>
          <w:color w:val="0070C0"/>
        </w:rPr>
      </w:pPr>
      <w:r>
        <w:rPr>
          <w:rFonts w:ascii="Century Gothic" w:eastAsia="Century Gothic" w:hAnsi="Century Gothic" w:cs="Century Gothic"/>
          <w:b/>
          <w:bCs/>
          <w:color w:val="0070C0"/>
          <w:sz w:val="24"/>
          <w:szCs w:val="24"/>
        </w:rPr>
        <w:t>Estructurar a nivel de factibilidad del proyecto Transmilenio a Soacha Fase IV.</w:t>
      </w:r>
    </w:p>
    <w:p w:rsidR="00D33F17" w:rsidRDefault="00D33F17">
      <w:pPr>
        <w:rPr>
          <w:rFonts w:ascii="Century Gothic" w:eastAsia="Century Gothic" w:hAnsi="Century Gothic" w:cs="Century Gothic"/>
          <w:b/>
          <w:bCs/>
          <w:color w:val="0070C0"/>
        </w:rPr>
      </w:pPr>
    </w:p>
    <w:p w:rsidR="00D33F17" w:rsidRDefault="00080EDA">
      <w:pPr>
        <w:rPr>
          <w:rFonts w:ascii="Century Gothic" w:eastAsia="Century Gothic" w:hAnsi="Century Gothic" w:cs="Century Gothic"/>
          <w:color w:val="17365D"/>
          <w:sz w:val="22"/>
          <w:szCs w:val="22"/>
        </w:rPr>
      </w:pPr>
      <w:r>
        <w:rPr>
          <w:rFonts w:ascii="Century Gothic" w:eastAsia="Century Gothic" w:hAnsi="Century Gothic" w:cs="Century Gothic"/>
          <w:b/>
          <w:bCs/>
          <w:color w:val="002060"/>
          <w:sz w:val="22"/>
          <w:szCs w:val="22"/>
        </w:rPr>
        <w:t>Reto:</w:t>
      </w:r>
      <w:r>
        <w:rPr>
          <w:rFonts w:ascii="Arial" w:eastAsia="Arial" w:hAnsi="Arial" w:cs="Arial"/>
          <w:color w:val="000000"/>
          <w:sz w:val="28"/>
          <w:szCs w:val="28"/>
        </w:rPr>
        <w:t xml:space="preserve"> </w:t>
      </w:r>
      <w:r>
        <w:rPr>
          <w:rFonts w:ascii="Century Gothic" w:eastAsia="Century Gothic" w:hAnsi="Century Gothic" w:cs="Century Gothic"/>
          <w:color w:val="17365D"/>
          <w:sz w:val="22"/>
          <w:szCs w:val="22"/>
        </w:rPr>
        <w:t xml:space="preserve">Otro de los principales retos a afrontar desde la Empresa Férrea Regional en su labor de conexión con la capital, es la reducción de los tiempos en el desplazamiento de los cundinamarqueses. Es por eso que, se tiene presente la mejora en el sistema de movilidad entre Soacha y Bogotá que moviliza 180.000 pasajeros diariamente. Además, con el proyecto de Transmilenio y extensión de la Troncal NQS se espera cumplir con la necesidad de puentes peatonales, vehiculares y estaciones del sistema integrado que extienda la capacidad para la unión con la capital. </w:t>
      </w:r>
    </w:p>
    <w:p w:rsidR="00D33F17" w:rsidRDefault="00D33F17">
      <w:pPr>
        <w:jc w:val="both"/>
        <w:rPr>
          <w:rFonts w:ascii="Arial" w:eastAsia="Arial" w:hAnsi="Arial" w:cs="Arial"/>
          <w:color w:val="000000"/>
          <w:sz w:val="28"/>
          <w:szCs w:val="28"/>
        </w:rPr>
      </w:pPr>
    </w:p>
    <w:p w:rsidR="00D33F17" w:rsidRDefault="00080EDA">
      <w:pP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b/>
          <w:bCs/>
          <w:color w:val="0070C0"/>
        </w:rPr>
        <w:t xml:space="preserve"> </w:t>
      </w:r>
      <w:r>
        <w:rPr>
          <w:rFonts w:ascii="Century Gothic" w:eastAsia="Century Gothic" w:hAnsi="Century Gothic" w:cs="Century Gothic"/>
          <w:color w:val="002060"/>
          <w:sz w:val="22"/>
          <w:szCs w:val="22"/>
        </w:rPr>
        <w:t>Acompañar la elaboración de estudios y diseños a nivel de factibilidad del proyecto Transmilenio a Soacha fase IV</w:t>
      </w:r>
    </w:p>
    <w:p w:rsidR="00D33F17" w:rsidRDefault="00D33F17">
      <w:pPr>
        <w:rPr>
          <w:rFonts w:ascii="Century Gothic" w:eastAsia="Century Gothic" w:hAnsi="Century Gothic" w:cs="Century Gothic"/>
          <w:color w:val="002060"/>
          <w:sz w:val="22"/>
          <w:szCs w:val="22"/>
        </w:rPr>
      </w:pPr>
    </w:p>
    <w:tbl>
      <w:tblPr>
        <w:tblStyle w:val="affa"/>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16%</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rPr>
          <w:rFonts w:ascii="Century Gothic" w:eastAsia="Century Gothic" w:hAnsi="Century Gothic" w:cs="Century Gothic"/>
          <w:b/>
          <w:bCs/>
          <w:color w:val="0070C0"/>
        </w:rPr>
      </w:pPr>
    </w:p>
    <w:p w:rsidR="00D33F17" w:rsidRDefault="00D33F17">
      <w:pPr>
        <w:rPr>
          <w:rFonts w:ascii="Century Gothic" w:eastAsia="Century Gothic" w:hAnsi="Century Gothic" w:cs="Century Gothic"/>
          <w:color w:val="0070C0"/>
          <w:sz w:val="24"/>
          <w:szCs w:val="24"/>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31%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31%</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adelantaron las siguientes actividades: Proyección borrador convenio con Gobernación y Región Metropolitana y Estudios previos convenio con Gobernación y Región Metropolitana. Durante el segundo trimestre de 2025 se adelantaron reuniones encaminadas a suscribir el otro sí de adhesión de la EFR al convenio marco Interadministrativo, el cual se suscribió el 16 de mayo de 2025. La ARM y la RM, suscribieron con la FDN el contrato interadministrativo para "Realizar la estructuración integral a nivel de prefactibilidad y de factibilidad, incluyendo componentes legal, de riesgos, técnico y financiero de la extensión de la Troncal Ciudad de Cali en Soacha - Transmilenio Fase IV (el "Proyecto").</w:t>
      </w:r>
    </w:p>
    <w:p w:rsidR="00D33F17" w:rsidRDefault="00D33F17">
      <w:pPr>
        <w:jc w:val="both"/>
        <w:rPr>
          <w:rFonts w:ascii="Century Gothic" w:eastAsia="Century Gothic" w:hAnsi="Century Gothic" w:cs="Century Gothic"/>
          <w:color w:val="205968"/>
          <w:sz w:val="22"/>
          <w:szCs w:val="22"/>
        </w:rPr>
      </w:pPr>
    </w:p>
    <w:p w:rsidR="00D33F17" w:rsidRDefault="00080EDA">
      <w:pPr>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Realizar acompañamiento técnico para la suscripción de un convenio de cofinanciación para la ejecución del proyecto Regiotram del Norte.</w:t>
      </w:r>
    </w:p>
    <w:p w:rsidR="00D33F17" w:rsidRDefault="00D33F17">
      <w:pPr>
        <w:rPr>
          <w:rFonts w:ascii="Century Gothic" w:eastAsia="Century Gothic" w:hAnsi="Century Gothic" w:cs="Century Gothic"/>
          <w:b/>
          <w:bCs/>
          <w:color w:val="0070C0"/>
        </w:rPr>
      </w:pPr>
    </w:p>
    <w:p w:rsidR="00D33F17" w:rsidRDefault="00080EDA">
      <w:pPr>
        <w:spacing w:after="80"/>
        <w:jc w:val="both"/>
        <w:rPr>
          <w:rFonts w:ascii="Century Gothic" w:eastAsia="Century Gothic" w:hAnsi="Century Gothic" w:cs="Century Gothic"/>
          <w:color w:val="000000"/>
          <w:sz w:val="24"/>
          <w:szCs w:val="24"/>
        </w:rPr>
      </w:pPr>
      <w:r>
        <w:rPr>
          <w:rFonts w:ascii="Century Gothic" w:eastAsia="Century Gothic" w:hAnsi="Century Gothic" w:cs="Century Gothic"/>
          <w:b/>
          <w:bCs/>
          <w:color w:val="002060"/>
          <w:sz w:val="22"/>
          <w:szCs w:val="22"/>
        </w:rPr>
        <w:t>Reto:</w:t>
      </w:r>
      <w:r>
        <w:rPr>
          <w:rFonts w:ascii="Arial" w:eastAsia="Arial" w:hAnsi="Arial" w:cs="Arial"/>
          <w:color w:val="000000"/>
          <w:sz w:val="28"/>
          <w:szCs w:val="28"/>
        </w:rPr>
        <w:t xml:space="preserve"> </w:t>
      </w:r>
      <w:r>
        <w:rPr>
          <w:rFonts w:ascii="Century Gothic" w:eastAsia="Century Gothic" w:hAnsi="Century Gothic" w:cs="Century Gothic"/>
          <w:color w:val="000000"/>
          <w:sz w:val="24"/>
          <w:szCs w:val="24"/>
        </w:rPr>
        <w:t xml:space="preserve">De acuerdo con el CONPES 3902 donde se estableció la importancia estratégica del proyecto de Regiotram de Occidente en concordancia con esto, desde esta empresa tenemos el reto de poder ofrecer una solución a la movilidad de las poblaciones de la provincia de Sabana de Occidente del departamento, la principal apuesta es la de implementar un sistema de tren ligero eléctrico, para atender la demanda diaria de pasajeros entre los municipios de la Sabana Occidente y Bogotá. Proyecto a desarrollarse sobre el corredor férreo existente desde Facatativá hasta el Distrito Capital, con una longitud de 39,6 km, de los cuales 24,9 km se encuentran en la zona suburbana y 14,7 km en la zona urbana, conectando los municipios de Funza, Mosquera, Madrid y Facatativá con la ciudad de Bogotá </w:t>
      </w:r>
    </w:p>
    <w:p w:rsidR="00D33F17" w:rsidRDefault="00D33F17">
      <w:pPr>
        <w:jc w:val="both"/>
        <w:rPr>
          <w:rFonts w:ascii="Arial" w:eastAsia="Arial" w:hAnsi="Arial" w:cs="Arial"/>
          <w:color w:val="000000"/>
          <w:sz w:val="28"/>
          <w:szCs w:val="28"/>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b/>
          <w:bCs/>
          <w:color w:val="0070C0"/>
        </w:rPr>
        <w:t xml:space="preserve"> </w:t>
      </w:r>
      <w:r>
        <w:rPr>
          <w:rFonts w:ascii="Century Gothic" w:eastAsia="Century Gothic" w:hAnsi="Century Gothic" w:cs="Century Gothic"/>
          <w:color w:val="002060"/>
          <w:sz w:val="22"/>
          <w:szCs w:val="22"/>
        </w:rPr>
        <w:t>Obtención del aval técnico del Ministerio de Transporte para la ejecución del proyecto Regiotram de Norte</w:t>
      </w:r>
    </w:p>
    <w:p w:rsidR="00D33F17" w:rsidRDefault="00D33F17">
      <w:pPr>
        <w:jc w:val="both"/>
        <w:rPr>
          <w:rFonts w:ascii="Century Gothic" w:eastAsia="Century Gothic" w:hAnsi="Century Gothic" w:cs="Century Gothic"/>
          <w:color w:val="002060"/>
          <w:sz w:val="22"/>
          <w:szCs w:val="22"/>
        </w:rPr>
      </w:pPr>
    </w:p>
    <w:tbl>
      <w:tblPr>
        <w:tblStyle w:val="affb"/>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18%</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jc w:val="both"/>
        <w:rPr>
          <w:rFonts w:ascii="Century Gothic" w:eastAsia="Century Gothic" w:hAnsi="Century Gothic" w:cs="Century Gothic"/>
          <w:b/>
          <w:bCs/>
          <w:color w:val="0070C0"/>
        </w:rPr>
      </w:pPr>
    </w:p>
    <w:p w:rsidR="00D33F17" w:rsidRDefault="00D33F17">
      <w:pPr>
        <w:rPr>
          <w:rFonts w:ascii="Century Gothic" w:eastAsia="Century Gothic" w:hAnsi="Century Gothic" w:cs="Century Gothic"/>
          <w:b/>
          <w:bCs/>
          <w:color w:val="002060"/>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43%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43%</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 xml:space="preserve">Se cumplió con las actividades de seguimiento al cumplimiento de requisitos para el aval técnico. Se realizaron reuniones encaminadas a continuar las gestiones para la cofinanciación del proyecto: 3 nuevas mesas de trabajo con el Ministerio de Transporte (Grupo Unidad de Movilidad Urbana Sostenible - UMUS), con el fin de aclarar inquietudes y validar el grado de cumplimiento de requisitos </w:t>
      </w:r>
      <w:r>
        <w:rPr>
          <w:rFonts w:ascii="Century Gothic" w:eastAsia="Century Gothic" w:hAnsi="Century Gothic" w:cs="Century Gothic"/>
          <w:color w:val="002060"/>
          <w:sz w:val="22"/>
          <w:szCs w:val="22"/>
        </w:rPr>
        <w:lastRenderedPageBreak/>
        <w:t>para optar a la cofinanciación por parte de la Nación, a la luz de la nueva resolución No. 2024304018695 de mayo 2024, adicionalmente se adelantó comité de seguimiento del Convenio 048 de 2019, con el fin de revisar el estado de los requisitos para lograr la cofinanciación de la Nación y definir pasos a seguir para ajustar los entregables. Se adelantó también reunión con la Ministra de Transporte, con el fin de revisar y definir la coexistencia de carga en el corredor. Se decidió que la gestión del aval técnico estará liderada por la Secretaria de Movilidad Contemporánea. Durante el segundo trimestre del 2025 se realizó el comité técnico, en el cual se presentó por parte de FINDETER la propuesta ajustada por parte del consultor y de la interventoría para el ajuste de los estudios y diseños.</w:t>
      </w:r>
    </w:p>
    <w:p w:rsidR="00D33F17" w:rsidRDefault="00D33F17">
      <w:pPr>
        <w:jc w:val="both"/>
        <w:rPr>
          <w:rFonts w:ascii="Century Gothic" w:eastAsia="Century Gothic" w:hAnsi="Century Gothic" w:cs="Century Gothic"/>
          <w:color w:val="0070C0"/>
          <w:sz w:val="24"/>
          <w:szCs w:val="24"/>
        </w:rPr>
      </w:pPr>
    </w:p>
    <w:p w:rsidR="00D33F17" w:rsidRDefault="00D33F17">
      <w:pPr>
        <w:jc w:val="both"/>
        <w:rPr>
          <w:rFonts w:ascii="Century Gothic" w:eastAsia="Century Gothic" w:hAnsi="Century Gothic" w:cs="Century Gothic"/>
          <w:b/>
          <w:bCs/>
          <w:color w:val="0070C0"/>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Estructurar el nivel de factibilidad del cable aéreo hacia La Calera.</w:t>
      </w:r>
    </w:p>
    <w:p w:rsidR="00D33F17" w:rsidRDefault="00D33F17">
      <w:pPr>
        <w:jc w:val="both"/>
        <w:rPr>
          <w:rFonts w:ascii="Century Gothic" w:eastAsia="Century Gothic" w:hAnsi="Century Gothic" w:cs="Century Gothic"/>
          <w:b/>
          <w:bCs/>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Esta estrategia es liderada en el momento por la Secretaría de Movilidad Contemporánea.</w:t>
      </w:r>
    </w:p>
    <w:p w:rsidR="00D33F17" w:rsidRDefault="00080EDA">
      <w:pPr>
        <w:ind w:left="-283"/>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 </w:t>
      </w:r>
    </w:p>
    <w:p w:rsidR="00D33F17" w:rsidRDefault="00D33F17">
      <w:pPr>
        <w:ind w:left="-283"/>
        <w:jc w:val="both"/>
        <w:rPr>
          <w:rFonts w:ascii="Century Gothic" w:eastAsia="Century Gothic" w:hAnsi="Century Gothic" w:cs="Century Gothic"/>
          <w:b/>
          <w:bCs/>
          <w:color w:val="002060"/>
          <w:sz w:val="22"/>
          <w:szCs w:val="22"/>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Estructurar el nivel de factibilidad del cable aéreo de altos de Cazucá.</w:t>
      </w: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 </w:t>
      </w:r>
      <w:r>
        <w:rPr>
          <w:rFonts w:ascii="Century Gothic" w:eastAsia="Century Gothic" w:hAnsi="Century Gothic" w:cs="Century Gothic"/>
          <w:color w:val="002060"/>
          <w:sz w:val="22"/>
          <w:szCs w:val="22"/>
        </w:rPr>
        <w:t>Esta estrategia es liderada en el momento por la Secretaría de Movilidad Contemporánea</w:t>
      </w:r>
    </w:p>
    <w:p w:rsidR="00D33F17" w:rsidRDefault="00D33F17">
      <w:pPr>
        <w:jc w:val="both"/>
        <w:rPr>
          <w:rFonts w:ascii="Century Gothic" w:eastAsia="Century Gothic" w:hAnsi="Century Gothic" w:cs="Century Gothic"/>
          <w:b/>
          <w:bCs/>
          <w:color w:val="002060"/>
          <w:sz w:val="22"/>
          <w:szCs w:val="22"/>
        </w:rPr>
      </w:pPr>
    </w:p>
    <w:p w:rsidR="00D33F17" w:rsidRDefault="00D33F17">
      <w:pPr>
        <w:ind w:left="840" w:hanging="420"/>
        <w:jc w:val="both"/>
        <w:rPr>
          <w:rFonts w:ascii="Century Gothic" w:eastAsia="Century Gothic" w:hAnsi="Century Gothic" w:cs="Century Gothic"/>
          <w:b/>
          <w:bCs/>
          <w:color w:val="002060"/>
          <w:sz w:val="22"/>
          <w:szCs w:val="22"/>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Realizar acompañamiento técnico a la estructuración a nivel de factibilidad de la línea 3 de metro a Soacha.</w:t>
      </w:r>
    </w:p>
    <w:p w:rsidR="00D33F17" w:rsidRDefault="00080EDA">
      <w:pPr>
        <w:ind w:left="42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 </w:t>
      </w: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Esta estrategia es liderada en el momento por la Secretaría de Movilidad Contemporánea.</w:t>
      </w:r>
    </w:p>
    <w:p w:rsidR="00D33F17" w:rsidRDefault="00D33F17">
      <w:pPr>
        <w:jc w:val="both"/>
        <w:rPr>
          <w:rFonts w:ascii="Century Gothic" w:eastAsia="Century Gothic" w:hAnsi="Century Gothic" w:cs="Century Gothic"/>
          <w:color w:val="002060"/>
          <w:sz w:val="22"/>
          <w:szCs w:val="22"/>
        </w:rPr>
      </w:pPr>
    </w:p>
    <w:p w:rsidR="00D33F17" w:rsidRDefault="00D33F17">
      <w:pPr>
        <w:jc w:val="both"/>
        <w:rPr>
          <w:rFonts w:ascii="Century Gothic" w:eastAsia="Century Gothic" w:hAnsi="Century Gothic" w:cs="Century Gothic"/>
          <w:b/>
          <w:bCs/>
          <w:color w:val="002060"/>
          <w:sz w:val="22"/>
          <w:szCs w:val="22"/>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Implementación de “Proyecto Cultura Regio”</w:t>
      </w:r>
    </w:p>
    <w:p w:rsidR="00D33F17" w:rsidRDefault="00D33F17">
      <w:pPr>
        <w:jc w:val="both"/>
        <w:rPr>
          <w:rFonts w:ascii="Century Gothic" w:eastAsia="Century Gothic" w:hAnsi="Century Gothic" w:cs="Century Gothic"/>
          <w:b/>
          <w:bCs/>
          <w:color w:val="0070C0"/>
          <w:sz w:val="24"/>
          <w:szCs w:val="24"/>
        </w:rPr>
      </w:pPr>
    </w:p>
    <w:p w:rsidR="00D33F17" w:rsidRDefault="00080EDA">
      <w:pPr>
        <w:spacing w:after="8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Arial" w:eastAsia="Arial" w:hAnsi="Arial" w:cs="Arial"/>
          <w:color w:val="000000"/>
          <w:sz w:val="28"/>
          <w:szCs w:val="28"/>
        </w:rPr>
        <w:t xml:space="preserve"> </w:t>
      </w:r>
      <w:r>
        <w:rPr>
          <w:rFonts w:ascii="Century Gothic" w:eastAsia="Century Gothic" w:hAnsi="Century Gothic" w:cs="Century Gothic"/>
          <w:color w:val="002060"/>
          <w:sz w:val="22"/>
          <w:szCs w:val="22"/>
        </w:rPr>
        <w:t xml:space="preserve">De acuerdo con el CONPES 3902 donde se estableció la importancia estratégica del proyecto de Regiotram de Occidente en concordancia con esto, desde esta empresa tenemos el reto de poder ofrecer una solución a la movilidad de las poblaciones de la provincia de Sabana de Occidente del departamento, la principal apuesta es la de implementar un sistema de tren ligero eléctrico, para atender la demanda diaria de pasajeros entre los municipios de la Sabana Occidente y Bogotá. Proyecto a desarrollarse sobre el corredor férreo existente desde Facatativá hasta el Distrito Capital, con una longitud de 39,6 km, de los cuales 24,9 km se encuentran en la zona suburbana y 14,7 km en la zona urbana, conectando los municipios de Funza, Mosquera, Madrid y Facatativá con la ciudad de Bogotá </w:t>
      </w:r>
    </w:p>
    <w:p w:rsidR="00D33F17" w:rsidRDefault="00D33F17">
      <w:pPr>
        <w:jc w:val="both"/>
        <w:rPr>
          <w:rFonts w:ascii="Arial" w:eastAsia="Arial" w:hAnsi="Arial" w:cs="Arial"/>
          <w:color w:val="000000"/>
          <w:sz w:val="28"/>
          <w:szCs w:val="28"/>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Implementación del plan de trabajo de cultura Regio</w:t>
      </w:r>
    </w:p>
    <w:p w:rsidR="00D33F17" w:rsidRDefault="00D33F17">
      <w:pPr>
        <w:rPr>
          <w:rFonts w:ascii="Century Gothic" w:eastAsia="Century Gothic" w:hAnsi="Century Gothic" w:cs="Century Gothic"/>
          <w:color w:val="002060"/>
          <w:sz w:val="22"/>
          <w:szCs w:val="22"/>
        </w:rPr>
      </w:pPr>
    </w:p>
    <w:p w:rsidR="00D33F17" w:rsidRDefault="00D33F17">
      <w:pPr>
        <w:rPr>
          <w:rFonts w:ascii="Century Gothic" w:eastAsia="Century Gothic" w:hAnsi="Century Gothic" w:cs="Century Gothic"/>
          <w:b/>
          <w:bCs/>
          <w:color w:val="002060"/>
          <w:sz w:val="22"/>
          <w:szCs w:val="22"/>
        </w:rPr>
      </w:pPr>
    </w:p>
    <w:tbl>
      <w:tblPr>
        <w:tblStyle w:val="affc"/>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rPr>
          <w:rFonts w:ascii="Century Gothic" w:eastAsia="Century Gothic" w:hAnsi="Century Gothic" w:cs="Century Gothic"/>
          <w:b/>
          <w:bCs/>
          <w:color w:val="002060"/>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30%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30%</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Cultura Regio culmina la vigencia con un cumplimiento de metas mayor al pronosticado, un 119,41%, teniendo en cuenta que es el año 2024 no tuvo comparación alguna, al ser el primer plan de acción de Cultura Regio, las metas se cumplieron de forma exitosa. Los últimos meses del año, propios de actividades como Halloween y celebraciones de Navidad representan en cifras grandes avances para el reporte de las metas. La cercanía de la comunidad y nuestros grupos de interés con el Regiotram de Occidente fue evidente con el cierre a la fecha de más de 12.000 participantes beneficiados con las actividades del modelo socio cultural de la EFR.  Se recibirá de manera oficial por parte del contratista la maqueta del RegioLab, por lo cual se realizarán las adecuaciones necesarias para puesta en marcha de la experiencia lúdico pedagógica y se abrirá al público en el mes de julio de 2025.</w:t>
      </w:r>
      <w:r>
        <w:rPr>
          <w:rFonts w:ascii="Century Gothic" w:eastAsia="Century Gothic" w:hAnsi="Century Gothic" w:cs="Century Gothic"/>
          <w:b/>
          <w:bCs/>
          <w:color w:val="002060"/>
          <w:sz w:val="22"/>
          <w:szCs w:val="22"/>
        </w:rPr>
        <w:t xml:space="preserve"> </w:t>
      </w:r>
    </w:p>
    <w:p w:rsidR="00D33F17" w:rsidRDefault="00080EDA">
      <w:pPr>
        <w:ind w:right="66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 </w:t>
      </w:r>
    </w:p>
    <w:p w:rsidR="00D33F17" w:rsidRDefault="00080EDA">
      <w:pPr>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relacionamiento con medios de comunicación y territorio.</w:t>
      </w:r>
    </w:p>
    <w:p w:rsidR="00D33F17" w:rsidRDefault="00D33F17">
      <w:pPr>
        <w:rPr>
          <w:rFonts w:ascii="Century Gothic" w:eastAsia="Century Gothic" w:hAnsi="Century Gothic" w:cs="Century Gothic"/>
          <w:b/>
          <w:bCs/>
          <w:color w:val="0070C0"/>
        </w:rPr>
      </w:pPr>
    </w:p>
    <w:p w:rsidR="00D33F17" w:rsidRDefault="00080EDA">
      <w:pPr>
        <w:jc w:val="both"/>
        <w:rPr>
          <w:rFonts w:ascii="Century Gothic" w:eastAsia="Century Gothic" w:hAnsi="Century Gothic" w:cs="Century Gothic"/>
          <w:color w:val="000000"/>
          <w:sz w:val="24"/>
          <w:szCs w:val="24"/>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Debido a su reciente creación la Empresa Férrea Regional requiere fortalecer su sistema de gestión que garantice la efectividad y sostenibilidad de los procesos y la calidad de sus productos y proyectos, así como garantizar los recursos técnicos, tecnológicos, físicos y de comunicación que logren una eficiente operación de la Empresa. Con el fin de avanzar en este sentido, la EFR decidió implementar de manera progresiva el Sistema de Gestión de la Calidad, se actualizó la plataforma estratégica de la EFR y se adoptó el sistema integrado de gestión que incluye los requisitos del Modelo Integrado de Planeación y Gestión- MIPG, y se obtuvo la certificación de calidad ISO 9001:2015. La empresa debe continuar mejorando su sistema de gestión con la implementación de los planes institucionales y el mantenimiento de la certificación de calidad.</w:t>
      </w:r>
      <w:r>
        <w:rPr>
          <w:rFonts w:ascii="Century Gothic" w:eastAsia="Century Gothic" w:hAnsi="Century Gothic" w:cs="Century Gothic"/>
          <w:color w:val="000000"/>
          <w:sz w:val="24"/>
          <w:szCs w:val="24"/>
        </w:rPr>
        <w:t xml:space="preserve"> </w:t>
      </w:r>
    </w:p>
    <w:p w:rsidR="00D33F17" w:rsidRDefault="00D33F17">
      <w:pPr>
        <w:rPr>
          <w:rFonts w:ascii="Century Gothic" w:eastAsia="Century Gothic" w:hAnsi="Century Gothic" w:cs="Century Gothic"/>
          <w:b/>
          <w:bCs/>
          <w:color w:val="0070C0"/>
        </w:rPr>
      </w:pPr>
    </w:p>
    <w:p w:rsidR="00D33F17" w:rsidRDefault="00080EDA">
      <w:pP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Implementación de un plan de acción</w:t>
      </w:r>
    </w:p>
    <w:p w:rsidR="00D33F17" w:rsidRDefault="00D33F17">
      <w:pPr>
        <w:rPr>
          <w:rFonts w:ascii="Century Gothic" w:eastAsia="Century Gothic" w:hAnsi="Century Gothic" w:cs="Century Gothic"/>
          <w:color w:val="002060"/>
          <w:sz w:val="22"/>
          <w:szCs w:val="22"/>
        </w:rPr>
      </w:pPr>
    </w:p>
    <w:tbl>
      <w:tblPr>
        <w:tblStyle w:val="affd"/>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36%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36%</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 xml:space="preserve">El indicador superó la meta establecida en un 109,49%, durante la vigencia 2024, la Oficina de Comunicaciones avanzó en el cumplimiento de los indicadores, logrando un desempeño destacado en sus tres líneas de acción: comunicación interna, redes sociales y medios de comunicación. </w:t>
      </w: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Comunicación Interna: Se implementaron estrategias orientadas a la apropiación de los valores institucionales, fortaleciendo el sentido de pertenencia y el compromiso de los colaboradores. Estas actividades contribuyeron a mejorar la cohesión interna y a reforzar la cultura organizacional.</w:t>
      </w: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Redes Sociales: Se consolidó a la comunicación digital como el área de mayor impacto para la OAC. Las campañas en redes sociales y otros canales digitales mostraron altos niveles de efectividad, alcanzando métricas destacadas en interacción y alcance. Esto posiciona a la EFR como un referente en la comunicación con sus públicos clave.</w:t>
      </w: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Relacionamiento con Medios: Se logró un incremento en el contacto y la colaboración con medios de comunicación locales y nacionales. No obstante, considerando la fase actual de los proyectos liderados por la EFR, se determinó que no era el momento oportuno para realizar jornadas de socialización masiva, priorizando estrategias más focalizadas para garantizar la claridad y pertinencia de los mensajes emitidos.</w:t>
      </w: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En resumen, el último trimestre representó un periodo de avances significativos para la Oficina de Comunicaciones, consolidando su papel estratégico dentro de la EFR.</w:t>
      </w:r>
      <w:r>
        <w:t xml:space="preserve"> </w:t>
      </w:r>
      <w:r>
        <w:rPr>
          <w:rFonts w:ascii="Century Gothic" w:eastAsia="Century Gothic" w:hAnsi="Century Gothic" w:cs="Century Gothic"/>
          <w:color w:val="002060"/>
          <w:sz w:val="22"/>
          <w:szCs w:val="22"/>
        </w:rPr>
        <w:t xml:space="preserve"> Se logró un incremento considerable en la ejecución del plan de trabajo, gracias al inicio de obras del corredor férreo del RegioTram de Occidente, lo que permitió una amplia presencia en medios de comunicación locales y nacionales. Esta coyuntura fue aprovechada estratégicamente para posicionar a la Empresa Férrea Regional como vocera del proyecto y fortalecer su relacionamiento con distintos públicos de interés.</w:t>
      </w: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Fortalecimiento Institucional.</w:t>
      </w:r>
    </w:p>
    <w:p w:rsidR="00D33F17" w:rsidRDefault="00D33F17">
      <w:pPr>
        <w:jc w:val="both"/>
        <w:rPr>
          <w:rFonts w:ascii="Century Gothic" w:eastAsia="Century Gothic" w:hAnsi="Century Gothic" w:cs="Century Gothic"/>
          <w:b/>
          <w:bCs/>
          <w:color w:val="0070C0"/>
          <w:sz w:val="24"/>
          <w:szCs w:val="24"/>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 xml:space="preserve">Debido a su reciente creación la Empresa Férrea Regional requiere fortalecer su sistema de gestión que garantice la efectividad y sostenibilidad de los procesos y la calidad de sus productos y proyectos, así como garantizar los recursos técnicos, tecnológicos, físicos y de comunicación que logren una eficiente operación de la Empresa. Con el fin de avanzar en este sentido, la EFR decidió implementar de manera progresiva el Sistema de Gestión de la Calidad, se actualizó la plataforma estratégica de la EFR y se adoptó el sistema integrado de gestión que incluye los requisitos del Modelo Integrado de Planeación y Gestión- MIPG, y se obtuvo la certificación de calidad ISO 9001:2015. La empresa debe continuar mejorando su sistema de gestión con la implementación de los planes institucionales y el mantenimiento de la certificación de calidad. </w:t>
      </w:r>
    </w:p>
    <w:p w:rsidR="00D33F17" w:rsidRDefault="00D33F17">
      <w:pPr>
        <w:jc w:val="both"/>
        <w:rPr>
          <w:rFonts w:ascii="Century Gothic" w:eastAsia="Century Gothic" w:hAnsi="Century Gothic" w:cs="Century Gothic"/>
          <w:b/>
          <w:bCs/>
          <w:color w:val="0070C0"/>
          <w:sz w:val="24"/>
          <w:szCs w:val="24"/>
        </w:rPr>
      </w:pPr>
    </w:p>
    <w:p w:rsidR="00D33F17" w:rsidRDefault="00080EDA">
      <w:pP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Implementación de las acciones previstas en el plan de fortalecimiento institucional</w:t>
      </w:r>
    </w:p>
    <w:p w:rsidR="00D33F17" w:rsidRDefault="00D33F17">
      <w:pPr>
        <w:rPr>
          <w:rFonts w:ascii="Century Gothic" w:eastAsia="Century Gothic" w:hAnsi="Century Gothic" w:cs="Century Gothic"/>
          <w:color w:val="002060"/>
          <w:sz w:val="22"/>
          <w:szCs w:val="22"/>
        </w:rPr>
      </w:pPr>
    </w:p>
    <w:tbl>
      <w:tblPr>
        <w:tblStyle w:val="affe"/>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16%</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rPr>
          <w:rFonts w:ascii="Century Gothic" w:eastAsia="Century Gothic" w:hAnsi="Century Gothic" w:cs="Century Gothic"/>
          <w:b/>
          <w:bCs/>
          <w:color w:val="002060"/>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41%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41%</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realizo seguimiento a la norma ISO 9001:2015, obteniendo la recomendación del Icontec de continuar con la certificación. PIC. Cumplieron con las actividades programadas en el plan.  PINAR. Cumplimiento. SST: 2 act pendientes -Curso de capacitación 50 horas miembros de Copasst. - Mantenimiento periódico de los equipos, máquinas y herramientas. Proyecto dotación fis y tec quedo en ejecución contrato de Orión, por capacitación.</w:t>
      </w:r>
      <w:r>
        <w:t xml:space="preserve"> </w:t>
      </w:r>
      <w:r>
        <w:rPr>
          <w:rFonts w:ascii="Century Gothic" w:eastAsia="Century Gothic" w:hAnsi="Century Gothic" w:cs="Century Gothic"/>
          <w:color w:val="002060"/>
          <w:sz w:val="22"/>
          <w:szCs w:val="22"/>
        </w:rPr>
        <w:t>Se han adelantado diferentes actividades tendientes a fortalecer temas administrativos en la empresa. Se han adelantado diferentes actividades tendientes a fortalecer temas administrativos en la empresa.</w:t>
      </w:r>
    </w:p>
    <w:p w:rsidR="00D33F17" w:rsidRDefault="00D33F17">
      <w:pPr>
        <w:jc w:val="both"/>
        <w:rPr>
          <w:rFonts w:ascii="Century Gothic" w:eastAsia="Century Gothic" w:hAnsi="Century Gothic" w:cs="Century Gothic"/>
          <w:b/>
          <w:bCs/>
          <w:color w:val="548DD4"/>
          <w:sz w:val="24"/>
          <w:szCs w:val="24"/>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Fortalecimiento del Capital Humano y la Estructura Funcional de la Entidad.</w:t>
      </w:r>
    </w:p>
    <w:p w:rsidR="00D33F17" w:rsidRDefault="00D33F17">
      <w:pPr>
        <w:jc w:val="both"/>
        <w:rPr>
          <w:rFonts w:ascii="Century Gothic" w:eastAsia="Century Gothic" w:hAnsi="Century Gothic" w:cs="Century Gothic"/>
          <w:b/>
          <w:bCs/>
          <w:color w:val="548DD4"/>
          <w:sz w:val="24"/>
          <w:szCs w:val="24"/>
        </w:rPr>
      </w:pPr>
    </w:p>
    <w:p w:rsidR="00D33F17" w:rsidRDefault="00080EDA">
      <w:pPr>
        <w:jc w:val="both"/>
        <w:rPr>
          <w:rFonts w:ascii="Century Gothic" w:eastAsia="Century Gothic" w:hAnsi="Century Gothic" w:cs="Century Gothic"/>
          <w:color w:val="000000"/>
          <w:sz w:val="24"/>
          <w:szCs w:val="24"/>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Debido a su reciente creación la Empresa Férrea Regional requiere fortalecer su sistema de gestión que garantice la efectividad y sostenibilidad de los procesos y la calidad de sus productos y proyectos, así como garantizar los recursos técnicos, tecnológicos, físicos y de comunicación que logren una eficiente operación de la Empresa. Con el fin de avanzar en este sentido, la EFR decidió implementar de manera progresiva el Sistema de Gestión de la Calidad, se actualizó la plataforma estratégica de la EFR y se adoptó el sistema integrado de gestión que incluye los requisitos del Modelo Integrado de Planeación y Gestión- MIPG, y se obtuvo la certificación de calidad ISO 9001:2015. La empresa debe continuar mejorando su sistema de gestión con la implementación de los planes institucionales y el mantenimiento de la certificación de calidad.</w:t>
      </w:r>
      <w:r>
        <w:rPr>
          <w:rFonts w:ascii="Century Gothic" w:eastAsia="Century Gothic" w:hAnsi="Century Gothic" w:cs="Century Gothic"/>
          <w:color w:val="000000"/>
          <w:sz w:val="24"/>
          <w:szCs w:val="24"/>
        </w:rPr>
        <w:t xml:space="preserve"> </w:t>
      </w:r>
    </w:p>
    <w:p w:rsidR="00D33F17" w:rsidRDefault="00D33F17">
      <w:pPr>
        <w:rPr>
          <w:rFonts w:ascii="Century Gothic" w:eastAsia="Century Gothic" w:hAnsi="Century Gothic" w:cs="Century Gothic"/>
          <w:b/>
          <w:bCs/>
          <w:color w:val="0070C0"/>
        </w:rPr>
      </w:pPr>
    </w:p>
    <w:p w:rsidR="00D33F17" w:rsidRDefault="00080EDA">
      <w:pPr>
        <w:jc w:val="both"/>
        <w:rPr>
          <w:rFonts w:ascii="Century Gothic" w:eastAsia="Century Gothic" w:hAnsi="Century Gothic" w:cs="Century Gothic"/>
          <w:b/>
          <w:bCs/>
          <w:color w:val="548DD4"/>
          <w:sz w:val="24"/>
          <w:szCs w:val="24"/>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Actualizar la estructura institucional y de funciones que permitan una gestión efectiva y eficiente de la EFR.</w:t>
      </w:r>
    </w:p>
    <w:p w:rsidR="00D33F17" w:rsidRDefault="00D33F17">
      <w:pPr>
        <w:rPr>
          <w:rFonts w:ascii="Century Gothic" w:eastAsia="Century Gothic" w:hAnsi="Century Gothic" w:cs="Century Gothic"/>
          <w:b/>
          <w:bCs/>
          <w:color w:val="002060"/>
          <w:sz w:val="22"/>
          <w:szCs w:val="22"/>
        </w:rPr>
      </w:pPr>
    </w:p>
    <w:p w:rsidR="00D33F17" w:rsidRDefault="00D33F17">
      <w:pPr>
        <w:rPr>
          <w:rFonts w:ascii="Century Gothic" w:eastAsia="Century Gothic" w:hAnsi="Century Gothic" w:cs="Century Gothic"/>
          <w:b/>
          <w:bCs/>
          <w:color w:val="002060"/>
          <w:sz w:val="22"/>
          <w:szCs w:val="22"/>
        </w:rPr>
      </w:pPr>
    </w:p>
    <w:tbl>
      <w:tblPr>
        <w:tblStyle w:val="afff"/>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16%</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rPr>
          <w:rFonts w:ascii="Century Gothic" w:eastAsia="Century Gothic" w:hAnsi="Century Gothic" w:cs="Century Gothic"/>
          <w:b/>
          <w:bCs/>
          <w:color w:val="002060"/>
          <w:sz w:val="22"/>
          <w:szCs w:val="22"/>
        </w:rPr>
      </w:pP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xml:space="preserve">  40% </w:t>
      </w:r>
    </w:p>
    <w:p w:rsidR="00D33F17" w:rsidRDefault="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Pr>
          <w:rFonts w:ascii="Century Gothic" w:eastAsia="Century Gothic" w:hAnsi="Century Gothic" w:cs="Century Gothic"/>
          <w:color w:val="002060"/>
          <w:sz w:val="22"/>
          <w:szCs w:val="22"/>
        </w:rPr>
        <w:t>40%</w:t>
      </w:r>
    </w:p>
    <w:p w:rsidR="00D33F17" w:rsidRDefault="00D33F17">
      <w:pPr>
        <w:pBdr>
          <w:top w:val="nil"/>
          <w:left w:val="nil"/>
          <w:bottom w:val="nil"/>
          <w:right w:val="nil"/>
          <w:between w:val="nil"/>
        </w:pBdr>
        <w:ind w:left="720"/>
        <w:jc w:val="both"/>
        <w:rPr>
          <w:rFonts w:ascii="Century Gothic" w:eastAsia="Century Gothic" w:hAnsi="Century Gothic" w:cs="Century Gothic"/>
          <w:color w:val="205968"/>
          <w:sz w:val="22"/>
          <w:szCs w:val="22"/>
        </w:rPr>
      </w:pPr>
    </w:p>
    <w:p w:rsidR="00D33F17" w:rsidRDefault="00080EDA">
      <w:pPr>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cuenta con 45 trabajadores oficiales de los 48 vacantes. La meta era contratar el 70%, la cual fue superada. se remitieron a los miembros de Junta Directiva los documentos actualizados: Estatutos, Reglamento de Junta Directiva, Reglamento de Asamblea y Código de Buen Gobierno, elaborados y gestionados por la OAJ ante el Ministerio de Hacienda. Adicional se realizó actualización de documentos del proceso Gestión del Talento Humano.</w:t>
      </w:r>
    </w:p>
    <w:p w:rsidR="00D33F17" w:rsidRDefault="00D33F17"/>
    <w:p w:rsidR="00D33F17" w:rsidRDefault="00080EDA">
      <w:pPr>
        <w:spacing w:before="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Durante el año 2024, la Empresa Férrea Regional (EFR) logró avances estructurales importantes en la consolidación del proyecto férreo, especialmente en las áreas de construcción, planeación técnica y gestión institucional.</w:t>
      </w:r>
    </w:p>
    <w:p w:rsidR="00D33F17" w:rsidRDefault="00080EDA">
      <w:pPr>
        <w:spacing w:before="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 vigencia 2024 representó un año de consolidación técnica, organizacional y estratégica, dejando bases sólidas para el inicio de fases constructivas mayores y reforzando el posicionamiento de la EFR como entidad ejecutora y articuladora del RegioTram.</w:t>
      </w:r>
    </w:p>
    <w:p w:rsidR="00D33F17" w:rsidRDefault="00080EDA">
      <w:pPr>
        <w:spacing w:before="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A junio 30 de 2025 marcó un punto de inflexión para la EFR, al dar inicio oficial a la fase de construcción del proyecto férreo y avanzar simultáneamente en procesos clave de estructuración y relacionamiento estratégico. Se caracterizó por la transición efectiva de la planificación a la ejecución, el posicionamiento estratégico de la EFR y la consolidación de alianzas clave para futuros desarrollos. Este año refuerza el papel de la entidad como líder del proyecto férreo y como gestora de integración territorial.</w:t>
      </w:r>
    </w:p>
    <w:p w:rsidR="00D33F17" w:rsidRDefault="00D33F17">
      <w:pPr>
        <w:spacing w:before="240" w:line="276" w:lineRule="auto"/>
        <w:jc w:val="both"/>
        <w:rPr>
          <w:rFonts w:ascii="Century Gothic" w:eastAsia="Century Gothic" w:hAnsi="Century Gothic" w:cs="Century Gothic"/>
          <w:color w:val="002060"/>
          <w:sz w:val="22"/>
          <w:szCs w:val="22"/>
        </w:rPr>
      </w:pPr>
    </w:p>
    <w:p w:rsidR="00D33F17" w:rsidRDefault="00080EDA">
      <w:pPr>
        <w:spacing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Análisis del avance frente al Plan de acción</w:t>
      </w:r>
    </w:p>
    <w:p w:rsidR="00D33F17" w:rsidRDefault="00D33F17">
      <w:pPr>
        <w:spacing w:line="276" w:lineRule="auto"/>
        <w:jc w:val="both"/>
        <w:rPr>
          <w:rFonts w:ascii="Century Gothic" w:eastAsia="Century Gothic" w:hAnsi="Century Gothic" w:cs="Century Gothic"/>
          <w:b/>
          <w:bCs/>
          <w:color w:val="002060"/>
          <w:sz w:val="22"/>
          <w:szCs w:val="22"/>
        </w:rPr>
      </w:pPr>
    </w:p>
    <w:p w:rsidR="00D33F17" w:rsidRDefault="00080EDA">
      <w:pPr>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 Empresa Férrea Regional (EFR), encargada de la planeación, gestión e implementación del Sistema Integrado de Transporte Regional de Cundinamarca, consolidó durante 2024 y el primer semestre de 2025 avances significativos en la ejecución de sus proyectos estratégicos férreos y de movilidad, así como en el fortalecimiento institucional requerido para su operación.</w:t>
      </w:r>
    </w:p>
    <w:p w:rsidR="00D33F17" w:rsidRDefault="00D33F17">
      <w:pPr>
        <w:spacing w:line="276" w:lineRule="auto"/>
        <w:jc w:val="both"/>
        <w:rPr>
          <w:rFonts w:ascii="Century Gothic" w:eastAsia="Century Gothic" w:hAnsi="Century Gothic" w:cs="Century Gothic"/>
          <w:b/>
          <w:bCs/>
          <w:color w:val="002060"/>
          <w:sz w:val="22"/>
          <w:szCs w:val="22"/>
        </w:rPr>
      </w:pPr>
    </w:p>
    <w:p w:rsidR="00D33F17" w:rsidRDefault="00080EDA">
      <w:pPr>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lastRenderedPageBreak/>
        <w:t>La EFR avanza de manera sostenida hacia la consolidación del sistema regional férreo, con logros técnicos, administrativos y de ejecución que reafirman su papel como entidad líder en la integración y modernización de la movilidad de Cundinamarca. El cierre de 2024 y el avance a junio de 2025 marcan el tránsito de la planeación a la ejecución integral del sistema Regiotram y otros proyectos de movilidad estratégica para la región.</w:t>
      </w: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080EDA">
      <w:pPr>
        <w:rPr>
          <w:rFonts w:ascii="Century Gothic" w:eastAsia="Century Gothic" w:hAnsi="Century Gothic" w:cs="Century Gothic"/>
          <w:color w:val="002060"/>
          <w:sz w:val="22"/>
          <w:szCs w:val="22"/>
        </w:rPr>
      </w:pPr>
      <w:r>
        <w:br w:type="page"/>
      </w:r>
    </w:p>
    <w:p w:rsidR="00D33F17" w:rsidRDefault="00080EDA">
      <w:pPr>
        <w:spacing w:before="240" w:line="276" w:lineRule="auto"/>
        <w:jc w:val="both"/>
        <w:rPr>
          <w:b/>
          <w:bCs/>
          <w:color w:val="4F81BD"/>
          <w:sz w:val="22"/>
          <w:szCs w:val="22"/>
        </w:rPr>
      </w:pPr>
      <w:r>
        <w:rPr>
          <w:noProof/>
        </w:rPr>
        <w:lastRenderedPageBreak/>
        <w:drawing>
          <wp:anchor distT="0" distB="0" distL="0" distR="0" simplePos="0" relativeHeight="251662336" behindDoc="1" locked="0" layoutInCell="1" hidden="0" allowOverlap="1">
            <wp:simplePos x="0" y="0"/>
            <wp:positionH relativeFrom="column">
              <wp:posOffset>-1080134</wp:posOffset>
            </wp:positionH>
            <wp:positionV relativeFrom="paragraph">
              <wp:posOffset>-975993</wp:posOffset>
            </wp:positionV>
            <wp:extent cx="7782560" cy="10161270"/>
            <wp:effectExtent l="0" t="0" r="0" b="0"/>
            <wp:wrapNone/>
            <wp:docPr id="2048110479" name="image6.png"/>
            <wp:cNvGraphicFramePr/>
            <a:graphic xmlns:a="http://schemas.openxmlformats.org/drawingml/2006/main">
              <a:graphicData uri="http://schemas.openxmlformats.org/drawingml/2006/picture">
                <pic:pic xmlns:pic="http://schemas.openxmlformats.org/drawingml/2006/picture">
                  <pic:nvPicPr>
                    <pic:cNvPr id="0" name="image6.png"/>
                    <pic:cNvPicPr preferRelativeResize="0"/>
                  </pic:nvPicPr>
                  <pic:blipFill>
                    <a:blip r:embed="rId12"/>
                    <a:srcRect/>
                    <a:stretch>
                      <a:fillRect/>
                    </a:stretch>
                  </pic:blipFill>
                  <pic:spPr>
                    <a:xfrm>
                      <a:off x="0" y="0"/>
                      <a:ext cx="7782560" cy="10161270"/>
                    </a:xfrm>
                    <a:prstGeom prst="rect">
                      <a:avLst/>
                    </a:prstGeom>
                    <a:ln/>
                  </pic:spPr>
                </pic:pic>
              </a:graphicData>
            </a:graphic>
          </wp:anchor>
        </w:drawing>
      </w:r>
    </w:p>
    <w:p w:rsidR="00D33F17" w:rsidRDefault="00D33F17">
      <w:pPr>
        <w:spacing w:before="240" w:line="276" w:lineRule="auto"/>
        <w:jc w:val="both"/>
        <w:rPr>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Pr="00080EDA" w:rsidRDefault="00080EDA" w:rsidP="00080EDA">
      <w:pPr>
        <w:spacing w:line="276" w:lineRule="auto"/>
        <w:jc w:val="center"/>
        <w:rPr>
          <w:rFonts w:ascii="Arial" w:eastAsia="Arial" w:hAnsi="Arial" w:cs="Arial"/>
          <w:b/>
          <w:bCs/>
          <w:color w:val="002060"/>
          <w:sz w:val="24"/>
          <w:szCs w:val="24"/>
        </w:rPr>
      </w:pPr>
      <w:r>
        <w:rPr>
          <w:rFonts w:ascii="Arial" w:eastAsia="Arial" w:hAnsi="Arial" w:cs="Arial"/>
          <w:b/>
          <w:bCs/>
          <w:color w:val="002060"/>
          <w:sz w:val="24"/>
          <w:szCs w:val="24"/>
        </w:rPr>
        <w:t>Empresa de Licores de Cundinamarca (ELC) Vigencia 2024 – Primer Corte 2025.</w:t>
      </w:r>
    </w:p>
    <w:p w:rsidR="00D33F17" w:rsidRDefault="00080EDA">
      <w:pPr>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lastRenderedPageBreak/>
        <w:t>La Empresa de Licores de Cundinamarca (ELC), adscrita a la Secretaría de Hacienda, es responsable de la producción, distribución y comercialización de licores en el departamento. Sus propósitos estratégicos incluyen el fortalecimiento del posicionamiento de las marcas Néctar y Ron Santa Fe, la expansión de mercados nacionales e internacionales y la generación de recursos para salud, educación y desarrollo social, en concordancia con el PDD “Gobernando más que un plan”.</w:t>
      </w:r>
    </w:p>
    <w:p w:rsidR="00D33F17" w:rsidRDefault="00080EDA">
      <w:pPr>
        <w:shd w:val="clear" w:color="auto" w:fill="FFFFFF"/>
        <w:spacing w:before="240" w:after="240" w:line="276" w:lineRule="auto"/>
        <w:jc w:val="both"/>
        <w:rPr>
          <w:rFonts w:ascii="Arial" w:eastAsia="Arial" w:hAnsi="Arial" w:cs="Arial"/>
          <w:sz w:val="24"/>
          <w:szCs w:val="24"/>
        </w:rPr>
      </w:pPr>
      <w:r>
        <w:rPr>
          <w:rFonts w:ascii="Arial" w:eastAsia="Arial" w:hAnsi="Arial" w:cs="Arial"/>
          <w:b/>
          <w:bCs/>
          <w:color w:val="00B0F0"/>
          <w:sz w:val="24"/>
          <w:szCs w:val="24"/>
        </w:rPr>
        <w:t>ELC se ha trazado los siguientes retos para el cuatrienio:</w:t>
      </w:r>
      <w:r>
        <w:rPr>
          <w:rFonts w:ascii="Arial" w:eastAsia="Arial" w:hAnsi="Arial" w:cs="Arial"/>
          <w:sz w:val="24"/>
          <w:szCs w:val="24"/>
        </w:rPr>
        <w:t xml:space="preserve"> </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Impulsar los productos de la ELC a través de estrategias de innovación, conocimiento del cliente e ingreso a nuevos mercados, logrando mejorar la cuota de mercado.</w:t>
      </w:r>
    </w:p>
    <w:p w:rsidR="00D33F17" w:rsidRDefault="00080EDA">
      <w:pPr>
        <w:numPr>
          <w:ilvl w:val="0"/>
          <w:numId w:val="2"/>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Fortalecer las áreas de innovación, mercadeo y comercial logrando potencializar la gestión de los distribuidores a través de estrategias de comunicación y el conocimiento del cliente.</w:t>
      </w:r>
    </w:p>
    <w:tbl>
      <w:tblPr>
        <w:tblStyle w:val="afff0"/>
        <w:tblW w:w="6674" w:type="dxa"/>
        <w:jc w:val="center"/>
        <w:tblInd w:w="0" w:type="dxa"/>
        <w:tblLayout w:type="fixed"/>
        <w:tblLook w:val="0400" w:firstRow="0" w:lastRow="0" w:firstColumn="0" w:lastColumn="0" w:noHBand="0" w:noVBand="1"/>
      </w:tblPr>
      <w:tblGrid>
        <w:gridCol w:w="2256"/>
        <w:gridCol w:w="2491"/>
        <w:gridCol w:w="1927"/>
      </w:tblGrid>
      <w:tr w:rsidR="00D33F17">
        <w:trPr>
          <w:trHeight w:val="550"/>
          <w:jc w:val="center"/>
        </w:trPr>
        <w:tc>
          <w:tcPr>
            <w:tcW w:w="667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t>Empresa de Licores de Cundinamarca</w:t>
            </w:r>
          </w:p>
        </w:tc>
      </w:tr>
      <w:tr w:rsidR="00D33F17">
        <w:trPr>
          <w:trHeight w:val="599"/>
          <w:jc w:val="center"/>
        </w:trPr>
        <w:tc>
          <w:tcPr>
            <w:tcW w:w="2256"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2491"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1927"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trPr>
          <w:trHeight w:val="40"/>
          <w:jc w:val="center"/>
        </w:trPr>
        <w:tc>
          <w:tcPr>
            <w:tcW w:w="2256"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36"/>
                <w:szCs w:val="36"/>
              </w:rPr>
            </w:pPr>
            <w:r>
              <w:rPr>
                <w:rFonts w:ascii="Century Gothic" w:eastAsia="Century Gothic" w:hAnsi="Century Gothic" w:cs="Century Gothic"/>
                <w:b/>
                <w:bCs/>
                <w:color w:val="002060"/>
                <w:sz w:val="26"/>
                <w:szCs w:val="26"/>
              </w:rPr>
              <w:t>5</w:t>
            </w:r>
          </w:p>
        </w:tc>
        <w:tc>
          <w:tcPr>
            <w:tcW w:w="2491"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2</w:t>
            </w:r>
          </w:p>
        </w:tc>
        <w:tc>
          <w:tcPr>
            <w:tcW w:w="1927"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3</w:t>
            </w:r>
          </w:p>
        </w:tc>
      </w:tr>
    </w:tbl>
    <w:p w:rsidR="00D33F17" w:rsidRDefault="00D33F17">
      <w:pPr>
        <w:jc w:val="center"/>
        <w:rPr>
          <w:rFonts w:ascii="Quattrocento Sans" w:eastAsia="Quattrocento Sans" w:hAnsi="Quattrocento Sans" w:cs="Quattrocento Sans"/>
          <w:color w:val="00B0F0"/>
          <w:sz w:val="24"/>
          <w:szCs w:val="24"/>
        </w:rPr>
      </w:pPr>
    </w:p>
    <w:p w:rsidR="00D33F17" w:rsidRDefault="00080EDA">
      <w:pPr>
        <w:jc w:val="center"/>
        <w:rPr>
          <w:rFonts w:ascii="Century Gothic" w:eastAsia="Century Gothic" w:hAnsi="Century Gothic" w:cs="Century Gothic"/>
          <w:b/>
          <w:bCs/>
          <w:color w:val="00B0F0"/>
          <w:sz w:val="28"/>
          <w:szCs w:val="28"/>
        </w:rPr>
      </w:pPr>
      <w:r>
        <w:rPr>
          <w:rFonts w:ascii="Century Gothic" w:eastAsia="Century Gothic" w:hAnsi="Century Gothic" w:cs="Century Gothic"/>
          <w:b/>
          <w:bCs/>
          <w:color w:val="00B0F0"/>
          <w:sz w:val="28"/>
          <w:szCs w:val="28"/>
        </w:rPr>
        <w:t>ESTRATEGIAS:</w:t>
      </w:r>
    </w:p>
    <w:p w:rsidR="00D33F17" w:rsidRDefault="00D33F17">
      <w:pPr>
        <w:jc w:val="center"/>
        <w:rPr>
          <w:rFonts w:ascii="Quattrocento Sans" w:eastAsia="Quattrocento Sans" w:hAnsi="Quattrocento Sans" w:cs="Quattrocento Sans"/>
          <w:sz w:val="24"/>
          <w:szCs w:val="24"/>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Desarrollar e implementar un plan de comunicación y de penetración en nuevos mercados que permita evacuar inventarios de distribuidores y puntos de venta.</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Mantener el posicionamiento logrado mediante la continuidad de las campañas de comunicación y mercadeo.</w:t>
      </w:r>
    </w:p>
    <w:p w:rsidR="00D33F17" w:rsidRPr="00080EDA"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sz w:val="22"/>
          <w:szCs w:val="22"/>
        </w:rPr>
      </w:pPr>
      <w:r>
        <w:rPr>
          <w:rFonts w:ascii="Century Gothic" w:eastAsia="Century Gothic" w:hAnsi="Century Gothic" w:cs="Century Gothic"/>
          <w:b/>
          <w:bCs/>
          <w:color w:val="002060"/>
          <w:sz w:val="22"/>
          <w:szCs w:val="22"/>
        </w:rPr>
        <w:t>Actividad</w:t>
      </w:r>
      <w:r w:rsidRPr="00D50A11">
        <w:rPr>
          <w:rFonts w:ascii="Century Gothic" w:eastAsia="Century Gothic" w:hAnsi="Century Gothic" w:cs="Century Gothic"/>
          <w:sz w:val="22"/>
          <w:szCs w:val="22"/>
        </w:rPr>
        <w:t xml:space="preserve">: </w:t>
      </w:r>
      <w:r w:rsidR="00D50A11" w:rsidRPr="00D50A11">
        <w:rPr>
          <w:rFonts w:ascii="Century Gothic" w:eastAsia="Century Gothic" w:hAnsi="Century Gothic" w:cs="Century Gothic"/>
          <w:bCs/>
          <w:sz w:val="24"/>
          <w:szCs w:val="24"/>
        </w:rPr>
        <w:t>plan de comunicación y de penetración en nuevos mercados.</w:t>
      </w:r>
    </w:p>
    <w:tbl>
      <w:tblPr>
        <w:tblStyle w:val="afff1"/>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266"/>
        <w:gridCol w:w="151"/>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gridSpan w:val="2"/>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 xml:space="preserve"> 2025</w:t>
            </w:r>
          </w:p>
        </w:tc>
      </w:tr>
      <w:tr w:rsidR="00D33F17" w:rsidTr="00080EDA">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106%</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Cumplido y superado</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66"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11%</w:t>
            </w:r>
          </w:p>
        </w:tc>
        <w:tc>
          <w:tcPr>
            <w:tcW w:w="1568" w:type="dxa"/>
            <w:gridSpan w:val="2"/>
            <w:vAlign w:val="center"/>
          </w:tcPr>
          <w:p w:rsidR="00D33F17" w:rsidRDefault="004A76A8">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rPr>
          <w:rFonts w:ascii="Quattrocento Sans" w:eastAsia="Quattrocento Sans" w:hAnsi="Quattrocento Sans" w:cs="Quattrocento Sans"/>
          <w:color w:val="000000"/>
          <w:sz w:val="24"/>
          <w:szCs w:val="24"/>
        </w:rPr>
      </w:pPr>
    </w:p>
    <w:p w:rsidR="00080EDA" w:rsidRDefault="00080EDA" w:rsidP="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lastRenderedPageBreak/>
        <w:t>Avance acumulado:</w:t>
      </w:r>
      <w:r>
        <w:rPr>
          <w:rFonts w:ascii="Century Gothic" w:eastAsia="Century Gothic" w:hAnsi="Century Gothic" w:cs="Century Gothic"/>
          <w:color w:val="002060"/>
          <w:sz w:val="22"/>
          <w:szCs w:val="22"/>
        </w:rPr>
        <w:t xml:space="preserve">  </w:t>
      </w:r>
      <w:r w:rsidR="00861857">
        <w:rPr>
          <w:rFonts w:ascii="Century Gothic" w:eastAsia="Century Gothic" w:hAnsi="Century Gothic" w:cs="Century Gothic"/>
          <w:color w:val="002060"/>
          <w:sz w:val="22"/>
          <w:szCs w:val="22"/>
        </w:rPr>
        <w:t>58.5%</w:t>
      </w:r>
    </w:p>
    <w:p w:rsidR="00080EDA" w:rsidRDefault="00080EDA" w:rsidP="00080EDA">
      <w:pPr>
        <w:numPr>
          <w:ilvl w:val="0"/>
          <w:numId w:val="4"/>
        </w:numPr>
        <w:pBdr>
          <w:top w:val="nil"/>
          <w:left w:val="nil"/>
          <w:bottom w:val="nil"/>
          <w:right w:val="nil"/>
          <w:between w:val="nil"/>
        </w:pBdr>
        <w:jc w:val="both"/>
        <w:rPr>
          <w:rFonts w:ascii="Century Gothic" w:eastAsia="Century Gothic" w:hAnsi="Century Gothic" w:cs="Century Gothic"/>
          <w:color w:val="205968"/>
          <w:sz w:val="22"/>
          <w:szCs w:val="22"/>
        </w:rPr>
      </w:pPr>
      <w:r>
        <w:rPr>
          <w:rFonts w:ascii="Century Gothic" w:eastAsia="Century Gothic" w:hAnsi="Century Gothic" w:cs="Century Gothic"/>
          <w:b/>
          <w:bCs/>
          <w:color w:val="002060"/>
          <w:sz w:val="22"/>
          <w:szCs w:val="22"/>
        </w:rPr>
        <w:t xml:space="preserve">Avance físico acumulado:  </w:t>
      </w:r>
      <w:r w:rsidR="00861857">
        <w:rPr>
          <w:rFonts w:ascii="Century Gothic" w:eastAsia="Century Gothic" w:hAnsi="Century Gothic" w:cs="Century Gothic"/>
          <w:b/>
          <w:bCs/>
          <w:color w:val="002060"/>
          <w:sz w:val="22"/>
          <w:szCs w:val="22"/>
        </w:rPr>
        <w:t>55.5%</w:t>
      </w:r>
    </w:p>
    <w:p w:rsidR="00080EDA" w:rsidRDefault="00080EDA">
      <w:pPr>
        <w:pBdr>
          <w:top w:val="nil"/>
          <w:left w:val="nil"/>
          <w:bottom w:val="nil"/>
          <w:right w:val="nil"/>
          <w:between w:val="nil"/>
        </w:pBdr>
        <w:jc w:val="both"/>
        <w:rPr>
          <w:rFonts w:ascii="Century Gothic" w:eastAsia="Century Gothic" w:hAnsi="Century Gothic" w:cs="Century Gothic"/>
          <w:b/>
          <w:bCs/>
          <w:color w:val="002060"/>
          <w:sz w:val="22"/>
          <w:szCs w:val="22"/>
        </w:rPr>
      </w:pPr>
    </w:p>
    <w:p w:rsidR="00D33F17" w:rsidRPr="00CD2DB5" w:rsidRDefault="004A76A8">
      <w:pPr>
        <w:pBdr>
          <w:top w:val="nil"/>
          <w:left w:val="nil"/>
          <w:bottom w:val="nil"/>
          <w:right w:val="nil"/>
          <w:between w:val="nil"/>
        </w:pBdr>
        <w:jc w:val="both"/>
        <w:rPr>
          <w:rFonts w:ascii="Century Gothic" w:eastAsia="Century Gothic" w:hAnsi="Century Gothic" w:cs="Century Gothic"/>
          <w:sz w:val="22"/>
          <w:szCs w:val="22"/>
        </w:rPr>
      </w:pPr>
      <w:r>
        <w:rPr>
          <w:rFonts w:ascii="Century Gothic" w:eastAsia="Century Gothic" w:hAnsi="Century Gothic" w:cs="Century Gothic"/>
          <w:b/>
          <w:bCs/>
          <w:color w:val="002060"/>
          <w:sz w:val="22"/>
          <w:szCs w:val="22"/>
        </w:rPr>
        <w:t>¿Qué se ha hecho?</w:t>
      </w:r>
      <w:r w:rsidR="00080EDA">
        <w:rPr>
          <w:rFonts w:ascii="Century Gothic" w:eastAsia="Century Gothic" w:hAnsi="Century Gothic" w:cs="Century Gothic"/>
          <w:b/>
          <w:bCs/>
          <w:color w:val="002060"/>
          <w:sz w:val="22"/>
          <w:szCs w:val="22"/>
        </w:rPr>
        <w:t xml:space="preserve">: </w:t>
      </w:r>
      <w:r w:rsidR="00080EDA" w:rsidRPr="00CD2DB5">
        <w:rPr>
          <w:rFonts w:ascii="Century Gothic" w:eastAsia="Century Gothic" w:hAnsi="Century Gothic" w:cs="Century Gothic"/>
          <w:sz w:val="22"/>
          <w:szCs w:val="22"/>
        </w:rPr>
        <w:t>Se requiere reforzar la inversión en comunicación y sostenibilidad de las acciones para mantener el posicionamiento alcanzado en 2024?</w:t>
      </w:r>
      <w:r>
        <w:rPr>
          <w:rFonts w:ascii="Century Gothic" w:eastAsia="Century Gothic" w:hAnsi="Century Gothic" w:cs="Century Gothic"/>
          <w:sz w:val="22"/>
          <w:szCs w:val="22"/>
        </w:rPr>
        <w:t>.</w:t>
      </w:r>
    </w:p>
    <w:p w:rsidR="00CD2DB5" w:rsidRDefault="00CD2DB5">
      <w:pPr>
        <w:pBdr>
          <w:top w:val="nil"/>
          <w:left w:val="nil"/>
          <w:bottom w:val="nil"/>
          <w:right w:val="nil"/>
          <w:between w:val="nil"/>
        </w:pBdr>
        <w:jc w:val="both"/>
        <w:rPr>
          <w:rFonts w:ascii="Century Gothic" w:eastAsia="Century Gothic" w:hAnsi="Century Gothic" w:cs="Century Gothic"/>
          <w:color w:val="FF0000"/>
          <w:sz w:val="22"/>
          <w:szCs w:val="22"/>
        </w:rPr>
      </w:pPr>
    </w:p>
    <w:p w:rsidR="00CD2DB5" w:rsidRDefault="00CD2DB5">
      <w:pPr>
        <w:pBdr>
          <w:top w:val="nil"/>
          <w:left w:val="nil"/>
          <w:bottom w:val="nil"/>
          <w:right w:val="nil"/>
          <w:between w:val="nil"/>
        </w:pBd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Fomentar una cultura de innovación basada en las tendencias del mercado y en la viabilidad técnica y comercial en la ELC.</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Alcanzar la meta de cinco nuevos productos durante el cuatrienio, fortaleciendo la competitividad y la diversificación del portafolio.</w:t>
      </w:r>
    </w:p>
    <w:p w:rsidR="00D33F17" w:rsidRPr="004A76A8" w:rsidRDefault="00080EDA" w:rsidP="004A76A8">
      <w:pPr>
        <w:pBdr>
          <w:top w:val="nil"/>
          <w:left w:val="nil"/>
          <w:bottom w:val="nil"/>
          <w:right w:val="nil"/>
          <w:between w:val="nil"/>
        </w:pBdr>
        <w:shd w:val="clear" w:color="auto" w:fill="FFFFFF"/>
        <w:spacing w:before="280" w:after="280"/>
        <w:rPr>
          <w:rFonts w:ascii="Century Gothic" w:eastAsia="Century Gothic" w:hAnsi="Century Gothic" w:cs="Century Gothic"/>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w:t>
      </w:r>
      <w:r w:rsidR="004A76A8" w:rsidRPr="004A76A8">
        <w:rPr>
          <w:rFonts w:ascii="Century Gothic" w:eastAsia="Century Gothic" w:hAnsi="Century Gothic" w:cs="Century Gothic"/>
          <w:bCs/>
          <w:sz w:val="24"/>
          <w:szCs w:val="24"/>
        </w:rPr>
        <w:t>cultura de innovación basada en las tendencias del mercado</w:t>
      </w:r>
    </w:p>
    <w:p w:rsidR="004A76A8" w:rsidRPr="004A76A8" w:rsidRDefault="004A76A8">
      <w:pPr>
        <w:pBdr>
          <w:top w:val="nil"/>
          <w:left w:val="nil"/>
          <w:bottom w:val="nil"/>
          <w:right w:val="nil"/>
          <w:between w:val="nil"/>
        </w:pBdr>
        <w:shd w:val="clear" w:color="auto" w:fill="FFFFFF"/>
        <w:spacing w:before="280" w:after="280"/>
        <w:rPr>
          <w:rFonts w:ascii="Century Gothic" w:eastAsia="Century Gothic" w:hAnsi="Century Gothic" w:cs="Century Gothic"/>
          <w:b/>
          <w:color w:val="002060"/>
          <w:sz w:val="22"/>
          <w:szCs w:val="22"/>
        </w:rPr>
      </w:pPr>
    </w:p>
    <w:tbl>
      <w:tblPr>
        <w:tblStyle w:val="afff3"/>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rPr>
          <w:rFonts w:ascii="Quattrocento Sans" w:eastAsia="Quattrocento Sans" w:hAnsi="Quattrocento Sans" w:cs="Quattrocento Sans"/>
          <w:color w:val="000000"/>
          <w:sz w:val="24"/>
          <w:szCs w:val="24"/>
        </w:rPr>
      </w:pPr>
    </w:p>
    <w:p w:rsidR="004B61E8" w:rsidRDefault="00432471" w:rsidP="004B61E8">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acumulado: </w:t>
      </w:r>
      <w:r>
        <w:t>117%</w:t>
      </w:r>
    </w:p>
    <w:p w:rsidR="004B61E8" w:rsidRDefault="004B61E8" w:rsidP="004B61E8">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físico acumulado: </w:t>
      </w:r>
      <w:r w:rsidR="00432471">
        <w:t>58.5%</w:t>
      </w:r>
    </w:p>
    <w:p w:rsidR="004A76A8" w:rsidRDefault="004A76A8">
      <w:pPr>
        <w:pBdr>
          <w:top w:val="nil"/>
          <w:left w:val="nil"/>
          <w:bottom w:val="nil"/>
          <w:right w:val="nil"/>
          <w:between w:val="nil"/>
        </w:pBdr>
        <w:rPr>
          <w:rFonts w:ascii="Century Gothic" w:eastAsia="Century Gothic" w:hAnsi="Century Gothic" w:cs="Century Gothic"/>
          <w:b/>
          <w:bCs/>
          <w:color w:val="002060"/>
          <w:sz w:val="22"/>
          <w:szCs w:val="22"/>
        </w:rPr>
      </w:pPr>
    </w:p>
    <w:p w:rsidR="004A76A8" w:rsidRDefault="004A76A8">
      <w:pPr>
        <w:pBdr>
          <w:top w:val="nil"/>
          <w:left w:val="nil"/>
          <w:bottom w:val="nil"/>
          <w:right w:val="nil"/>
          <w:between w:val="nil"/>
        </w:pBdr>
        <w:rPr>
          <w:rFonts w:ascii="Century Gothic" w:eastAsia="Century Gothic" w:hAnsi="Century Gothic" w:cs="Century Gothic"/>
          <w:b/>
          <w:bCs/>
          <w:color w:val="002060"/>
          <w:sz w:val="22"/>
          <w:szCs w:val="22"/>
        </w:rPr>
      </w:pPr>
    </w:p>
    <w:p w:rsidR="00D33F17" w:rsidRDefault="00636DD0">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sidR="00080EDA">
        <w:rPr>
          <w:rFonts w:ascii="Century Gothic" w:eastAsia="Century Gothic" w:hAnsi="Century Gothic" w:cs="Century Gothic"/>
          <w:b/>
          <w:bCs/>
          <w:color w:val="002060"/>
          <w:sz w:val="22"/>
          <w:szCs w:val="22"/>
        </w:rPr>
        <w:t xml:space="preserve">: </w:t>
      </w:r>
      <w:r w:rsidR="00080EDA">
        <w:rPr>
          <w:rFonts w:ascii="Century Gothic" w:eastAsia="Century Gothic" w:hAnsi="Century Gothic" w:cs="Century Gothic"/>
          <w:color w:val="002060"/>
          <w:sz w:val="22"/>
          <w:szCs w:val="22"/>
        </w:rPr>
        <w:t>Es necesario acelerar la estrategia de innovación para no acumular rezagos que afecten los resultados globales.</w:t>
      </w:r>
    </w:p>
    <w:p w:rsidR="00CD2DB5" w:rsidRDefault="00CD2DB5">
      <w:pPr>
        <w:pBdr>
          <w:top w:val="nil"/>
          <w:left w:val="nil"/>
          <w:bottom w:val="nil"/>
          <w:right w:val="nil"/>
          <w:between w:val="nil"/>
        </w:pBdr>
        <w:rPr>
          <w:rFonts w:ascii="Century Gothic" w:eastAsia="Century Gothic" w:hAnsi="Century Gothic" w:cs="Century Gothic"/>
          <w:b/>
          <w:bCs/>
          <w:color w:val="002060"/>
          <w:sz w:val="22"/>
          <w:szCs w:val="22"/>
        </w:rPr>
      </w:pPr>
    </w:p>
    <w:p w:rsidR="00D33F17" w:rsidRDefault="00080EDA">
      <w:pPr>
        <w:shd w:val="clear" w:color="auto" w:fill="FFFFFF"/>
        <w:tabs>
          <w:tab w:val="left" w:pos="5008"/>
        </w:tabs>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Implementar un plan de expansión que permita la consolidación de mercados emergentes tanto en Colombia como en el exterior.</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Consolidar la presencia internacional en al menos tres países y fortalecer la logística exportadora.</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bCs/>
          <w:sz w:val="24"/>
          <w:szCs w:val="24"/>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w:t>
      </w:r>
      <w:r w:rsidR="004A76A8" w:rsidRPr="004A76A8">
        <w:rPr>
          <w:rFonts w:ascii="Century Gothic" w:eastAsia="Century Gothic" w:hAnsi="Century Gothic" w:cs="Century Gothic"/>
          <w:bCs/>
          <w:sz w:val="24"/>
          <w:szCs w:val="24"/>
        </w:rPr>
        <w:t>un plan de expansión que permita la consolidación de mercados emergentes</w:t>
      </w:r>
      <w:r w:rsidR="00636DD0">
        <w:rPr>
          <w:rFonts w:ascii="Century Gothic" w:eastAsia="Century Gothic" w:hAnsi="Century Gothic" w:cs="Century Gothic"/>
          <w:bCs/>
          <w:sz w:val="24"/>
          <w:szCs w:val="24"/>
        </w:rPr>
        <w:t>.</w:t>
      </w:r>
    </w:p>
    <w:p w:rsidR="00636DD0" w:rsidRDefault="00636DD0">
      <w:pPr>
        <w:pBdr>
          <w:top w:val="nil"/>
          <w:left w:val="nil"/>
          <w:bottom w:val="nil"/>
          <w:right w:val="nil"/>
          <w:between w:val="nil"/>
        </w:pBdr>
        <w:shd w:val="clear" w:color="auto" w:fill="FFFFFF"/>
        <w:spacing w:before="280" w:after="280"/>
        <w:rPr>
          <w:rFonts w:ascii="Century Gothic" w:eastAsia="Century Gothic" w:hAnsi="Century Gothic" w:cs="Century Gothic"/>
          <w:bCs/>
          <w:sz w:val="24"/>
          <w:szCs w:val="24"/>
        </w:rPr>
      </w:pPr>
    </w:p>
    <w:p w:rsidR="00636DD0" w:rsidRPr="004A76A8" w:rsidRDefault="00636DD0">
      <w:pPr>
        <w:pBdr>
          <w:top w:val="nil"/>
          <w:left w:val="nil"/>
          <w:bottom w:val="nil"/>
          <w:right w:val="nil"/>
          <w:between w:val="nil"/>
        </w:pBdr>
        <w:shd w:val="clear" w:color="auto" w:fill="FFFFFF"/>
        <w:spacing w:before="280" w:after="280"/>
        <w:rPr>
          <w:rFonts w:ascii="Century Gothic" w:eastAsia="Century Gothic" w:hAnsi="Century Gothic" w:cs="Century Gothic"/>
          <w:sz w:val="22"/>
          <w:szCs w:val="22"/>
        </w:rPr>
      </w:pPr>
    </w:p>
    <w:tbl>
      <w:tblPr>
        <w:tblStyle w:val="afff5"/>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 xml:space="preserve">Ejecutado </w:t>
            </w:r>
            <w:r w:rsidR="00636DD0">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432471">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106</w:t>
            </w:r>
            <w:r w:rsidR="00080EDA">
              <w:rPr>
                <w:rFonts w:ascii="Century Gothic" w:eastAsia="Century Gothic" w:hAnsi="Century Gothic" w:cs="Century Gothic"/>
                <w:color w:val="002060"/>
                <w:sz w:val="22"/>
                <w:szCs w:val="22"/>
              </w:rPr>
              <w:t>%</w:t>
            </w:r>
          </w:p>
        </w:tc>
        <w:tc>
          <w:tcPr>
            <w:tcW w:w="1276" w:type="dxa"/>
            <w:vAlign w:val="center"/>
          </w:tcPr>
          <w:p w:rsidR="00D33F17" w:rsidRDefault="00432471">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106%</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D33F17" w:rsidRDefault="00432471">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11</w:t>
            </w:r>
            <w:r w:rsidR="00080EDA">
              <w:rPr>
                <w:rFonts w:ascii="Century Gothic" w:eastAsia="Century Gothic" w:hAnsi="Century Gothic" w:cs="Century Gothic"/>
                <w:color w:val="002060"/>
                <w:sz w:val="22"/>
                <w:szCs w:val="22"/>
              </w:rPr>
              <w:t>%</w:t>
            </w:r>
          </w:p>
        </w:tc>
        <w:tc>
          <w:tcPr>
            <w:tcW w:w="1417" w:type="dxa"/>
            <w:vAlign w:val="center"/>
          </w:tcPr>
          <w:p w:rsidR="00D33F17" w:rsidRDefault="00432471">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11</w:t>
            </w:r>
          </w:p>
        </w:tc>
      </w:tr>
    </w:tbl>
    <w:p w:rsid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636DD0" w:rsidRDefault="00432471"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58.5</w:t>
      </w:r>
      <w:r w:rsidR="00636DD0">
        <w:rPr>
          <w:rFonts w:ascii="Century Gothic" w:eastAsia="Century Gothic" w:hAnsi="Century Gothic" w:cs="Century Gothic"/>
          <w:b/>
          <w:bCs/>
          <w:color w:val="002060"/>
          <w:sz w:val="22"/>
          <w:szCs w:val="22"/>
        </w:rPr>
        <w:t>%</w:t>
      </w:r>
    </w:p>
    <w:p w:rsidR="00636DD0" w:rsidRDefault="00432471"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117</w:t>
      </w:r>
      <w:r w:rsidR="00636DD0">
        <w:rPr>
          <w:rFonts w:ascii="Century Gothic" w:eastAsia="Century Gothic" w:hAnsi="Century Gothic" w:cs="Century Gothic"/>
          <w:b/>
          <w:bCs/>
          <w:color w:val="002060"/>
          <w:sz w:val="22"/>
          <w:szCs w:val="22"/>
        </w:rPr>
        <w:t>%</w:t>
      </w:r>
    </w:p>
    <w:p w:rsidR="00636DD0" w:rsidRP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1B507E">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sidR="00080EDA">
        <w:rPr>
          <w:rFonts w:ascii="Century Gothic" w:eastAsia="Century Gothic" w:hAnsi="Century Gothic" w:cs="Century Gothic"/>
          <w:b/>
          <w:bCs/>
          <w:color w:val="002060"/>
          <w:sz w:val="22"/>
          <w:szCs w:val="22"/>
        </w:rPr>
        <w:t xml:space="preserve">: </w:t>
      </w:r>
      <w:r w:rsidR="00080EDA">
        <w:rPr>
          <w:rFonts w:ascii="Century Gothic" w:eastAsia="Century Gothic" w:hAnsi="Century Gothic" w:cs="Century Gothic"/>
          <w:color w:val="002060"/>
          <w:sz w:val="22"/>
          <w:szCs w:val="22"/>
        </w:rPr>
        <w:t>Aunque hay avances, se requiere mayor gestión en la internacionalización (ejemplo: Canadá) y fortalecimiento logístico</w:t>
      </w:r>
    </w:p>
    <w:p w:rsidR="001B507E" w:rsidRDefault="001B507E">
      <w:pPr>
        <w:pBdr>
          <w:top w:val="nil"/>
          <w:left w:val="nil"/>
          <w:bottom w:val="nil"/>
          <w:right w:val="nil"/>
          <w:between w:val="nil"/>
        </w:pBdr>
        <w:rPr>
          <w:rFonts w:ascii="Quattrocento Sans" w:eastAsia="Quattrocento Sans" w:hAnsi="Quattrocento Sans" w:cs="Quattrocento Sans"/>
          <w:color w:val="000000"/>
          <w:sz w:val="24"/>
          <w:szCs w:val="24"/>
        </w:rPr>
      </w:pPr>
    </w:p>
    <w:p w:rsidR="004A76A8" w:rsidRDefault="004A76A8">
      <w:pPr>
        <w:shd w:val="clear" w:color="auto" w:fill="FFFFFF"/>
        <w:tabs>
          <w:tab w:val="left" w:pos="5008"/>
        </w:tabs>
        <w:ind w:right="660"/>
        <w:jc w:val="both"/>
        <w:rPr>
          <w:rFonts w:ascii="Century Gothic" w:eastAsia="Century Gothic" w:hAnsi="Century Gothic" w:cs="Century Gothic"/>
          <w:b/>
          <w:bCs/>
          <w:color w:val="0070C0"/>
          <w:sz w:val="24"/>
          <w:szCs w:val="24"/>
        </w:rPr>
      </w:pPr>
    </w:p>
    <w:p w:rsidR="00D33F17" w:rsidRDefault="00080EDA">
      <w:pPr>
        <w:shd w:val="clear" w:color="auto" w:fill="FFFFFF"/>
        <w:tabs>
          <w:tab w:val="left" w:pos="5008"/>
        </w:tabs>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Consolidar un equipo del área comercial y mercadeo para canales de venta y comunicación acordes con los modelos de distribución.</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Activar el modelo de distribución y fortalecer las capacidades del recurso humano en ventas y mercadeo.</w:t>
      </w:r>
    </w:p>
    <w:p w:rsidR="00D33F17" w:rsidRDefault="00080EDA" w:rsidP="004A76A8">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w:t>
      </w:r>
      <w:r w:rsidR="004A76A8" w:rsidRPr="001B507E">
        <w:rPr>
          <w:rFonts w:ascii="Century Gothic" w:eastAsia="Century Gothic" w:hAnsi="Century Gothic" w:cs="Century Gothic"/>
          <w:bCs/>
          <w:sz w:val="24"/>
          <w:szCs w:val="24"/>
        </w:rPr>
        <w:t>equipo del área comercial y mercadeo para canales de venta y comunicación</w:t>
      </w:r>
      <w:r w:rsidR="001B507E">
        <w:rPr>
          <w:rFonts w:ascii="Century Gothic" w:eastAsia="Century Gothic" w:hAnsi="Century Gothic" w:cs="Century Gothic"/>
          <w:bCs/>
          <w:sz w:val="24"/>
          <w:szCs w:val="24"/>
        </w:rPr>
        <w:t>.</w:t>
      </w:r>
    </w:p>
    <w:p w:rsidR="00D33F17" w:rsidRDefault="00D33F17">
      <w:pPr>
        <w:pBdr>
          <w:top w:val="nil"/>
          <w:left w:val="nil"/>
          <w:bottom w:val="nil"/>
          <w:right w:val="nil"/>
          <w:between w:val="nil"/>
        </w:pBdr>
        <w:rPr>
          <w:rFonts w:ascii="Quattrocento Sans" w:eastAsia="Quattrocento Sans" w:hAnsi="Quattrocento Sans" w:cs="Quattrocento Sans"/>
          <w:color w:val="000000"/>
          <w:sz w:val="24"/>
          <w:szCs w:val="24"/>
        </w:rPr>
      </w:pPr>
    </w:p>
    <w:p w:rsidR="00D33F17" w:rsidRDefault="00D33F17">
      <w:pPr>
        <w:pBdr>
          <w:top w:val="nil"/>
          <w:left w:val="nil"/>
          <w:bottom w:val="nil"/>
          <w:right w:val="nil"/>
          <w:between w:val="nil"/>
        </w:pBdr>
        <w:rPr>
          <w:rFonts w:ascii="Quattrocento Sans" w:eastAsia="Quattrocento Sans" w:hAnsi="Quattrocento Sans" w:cs="Quattrocento Sans"/>
          <w:color w:val="000000"/>
          <w:sz w:val="24"/>
          <w:szCs w:val="24"/>
        </w:rPr>
      </w:pPr>
    </w:p>
    <w:tbl>
      <w:tblPr>
        <w:tblStyle w:val="afff7"/>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 xml:space="preserve">Programado </w:t>
            </w:r>
            <w:r w:rsidR="004A76A8">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rPr>
          <w:rFonts w:ascii="Quattrocento Sans" w:eastAsia="Quattrocento Sans" w:hAnsi="Quattrocento Sans" w:cs="Quattrocento Sans"/>
          <w:color w:val="000000"/>
          <w:sz w:val="24"/>
          <w:szCs w:val="24"/>
        </w:rPr>
      </w:pPr>
    </w:p>
    <w:p w:rsid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0</w:t>
      </w:r>
    </w:p>
    <w:p w:rsid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1B507E" w:rsidRDefault="001B507E">
      <w:pPr>
        <w:pBdr>
          <w:top w:val="nil"/>
          <w:left w:val="nil"/>
          <w:bottom w:val="nil"/>
          <w:right w:val="nil"/>
          <w:between w:val="nil"/>
        </w:pBdr>
        <w:rPr>
          <w:rFonts w:ascii="Century Gothic" w:eastAsia="Century Gothic" w:hAnsi="Century Gothic" w:cs="Century Gothic"/>
          <w:b/>
          <w:bCs/>
          <w:color w:val="002060"/>
          <w:sz w:val="22"/>
          <w:szCs w:val="22"/>
        </w:rPr>
      </w:pPr>
    </w:p>
    <w:p w:rsidR="001B507E" w:rsidRDefault="001B507E">
      <w:pPr>
        <w:pBdr>
          <w:top w:val="nil"/>
          <w:left w:val="nil"/>
          <w:bottom w:val="nil"/>
          <w:right w:val="nil"/>
          <w:between w:val="nil"/>
        </w:pBdr>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rPr>
          <w:rFonts w:ascii="Quattrocento Sans" w:eastAsia="Quattrocento Sans" w:hAnsi="Quattrocento Sans" w:cs="Quattrocento Sans"/>
          <w:color w:val="000000"/>
          <w:sz w:val="24"/>
          <w:szCs w:val="24"/>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Urge la implementación del modelo de distribución y la profesionalización del equipo comercial para mejorar cobertura y resultados.</w:t>
      </w:r>
    </w:p>
    <w:p w:rsidR="004A76A8" w:rsidRDefault="004A76A8">
      <w:pPr>
        <w:shd w:val="clear" w:color="auto" w:fill="FFFFFF"/>
        <w:tabs>
          <w:tab w:val="left" w:pos="5008"/>
        </w:tabs>
        <w:ind w:right="660"/>
        <w:jc w:val="both"/>
        <w:rPr>
          <w:rFonts w:ascii="Century Gothic" w:eastAsia="Century Gothic" w:hAnsi="Century Gothic" w:cs="Century Gothic"/>
          <w:b/>
          <w:bCs/>
          <w:color w:val="0070C0"/>
          <w:sz w:val="24"/>
          <w:szCs w:val="24"/>
        </w:rPr>
      </w:pPr>
    </w:p>
    <w:p w:rsidR="00D33F17" w:rsidRDefault="00080EDA">
      <w:pPr>
        <w:shd w:val="clear" w:color="auto" w:fill="FFFFFF"/>
        <w:tabs>
          <w:tab w:val="left" w:pos="5008"/>
        </w:tabs>
        <w:ind w:right="66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Promover campañas de responsabilidad social empresarial enfocadas en el adulto mayor y en la protección a la mujer.</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Implementar programas de responsabilidad social con impacto en comunidades vulnerables, especialmente adultos mayores y mujeres.</w:t>
      </w:r>
    </w:p>
    <w:p w:rsidR="00D33F17" w:rsidRDefault="00080EDA">
      <w:pPr>
        <w:pBdr>
          <w:top w:val="nil"/>
          <w:left w:val="nil"/>
          <w:bottom w:val="nil"/>
          <w:right w:val="nil"/>
          <w:between w:val="nil"/>
        </w:pBdr>
        <w:shd w:val="clear" w:color="auto" w:fill="FFFFFF"/>
        <w:spacing w:before="280" w:after="280"/>
        <w:rPr>
          <w:rFonts w:ascii="Century Gothic" w:eastAsia="Century Gothic" w:hAnsi="Century Gothic" w:cs="Century Gothic"/>
          <w:bCs/>
          <w:sz w:val="24"/>
          <w:szCs w:val="24"/>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w:t>
      </w:r>
      <w:r w:rsidR="004A76A8" w:rsidRPr="004A76A8">
        <w:rPr>
          <w:rFonts w:ascii="Century Gothic" w:eastAsia="Century Gothic" w:hAnsi="Century Gothic" w:cs="Century Gothic"/>
          <w:bCs/>
          <w:sz w:val="24"/>
          <w:szCs w:val="24"/>
        </w:rPr>
        <w:t>campañas de responsabilidad social empresarial enfocadas en el adulto mayor y en la protección a la mujer</w:t>
      </w:r>
      <w:r w:rsidR="00636DD0">
        <w:rPr>
          <w:rFonts w:ascii="Century Gothic" w:eastAsia="Century Gothic" w:hAnsi="Century Gothic" w:cs="Century Gothic"/>
          <w:bCs/>
          <w:sz w:val="24"/>
          <w:szCs w:val="24"/>
        </w:rPr>
        <w:t>.</w:t>
      </w:r>
    </w:p>
    <w:tbl>
      <w:tblPr>
        <w:tblStyle w:val="afff7"/>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636DD0" w:rsidTr="003E4009">
        <w:trPr>
          <w:tblHeader/>
          <w:jc w:val="center"/>
        </w:trPr>
        <w:tc>
          <w:tcPr>
            <w:tcW w:w="1417" w:type="dxa"/>
            <w:shd w:val="clear" w:color="auto" w:fill="4F81BD"/>
            <w:tcMar>
              <w:top w:w="100" w:type="dxa"/>
              <w:left w:w="100" w:type="dxa"/>
              <w:bottom w:w="100" w:type="dxa"/>
              <w:right w:w="100" w:type="dxa"/>
            </w:tcMar>
            <w:vAlign w:val="center"/>
          </w:tcPr>
          <w:p w:rsidR="00636DD0" w:rsidRDefault="00636DD0" w:rsidP="003E4009">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636DD0" w:rsidRDefault="00636DD0"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636DD0" w:rsidRDefault="00636DD0"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636DD0" w:rsidRDefault="00636DD0"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636DD0" w:rsidRDefault="00636DD0"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636DD0" w:rsidRDefault="00636DD0"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636DD0" w:rsidRDefault="00636DD0"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636DD0" w:rsidTr="003E4009">
        <w:trPr>
          <w:trHeight w:val="482"/>
          <w:jc w:val="center"/>
        </w:trPr>
        <w:tc>
          <w:tcPr>
            <w:tcW w:w="1417" w:type="dxa"/>
            <w:tcMar>
              <w:top w:w="100" w:type="dxa"/>
              <w:left w:w="100" w:type="dxa"/>
              <w:bottom w:w="100" w:type="dxa"/>
              <w:right w:w="100" w:type="dxa"/>
            </w:tcMar>
            <w:vAlign w:val="center"/>
          </w:tcPr>
          <w:p w:rsidR="00636DD0" w:rsidRDefault="00636DD0"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636DD0" w:rsidRDefault="00636DD0"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636DD0" w:rsidRDefault="00636DD0"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636DD0" w:rsidRDefault="00636DD0"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636DD0" w:rsidRDefault="00636DD0"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636DD0" w:rsidRDefault="00636DD0"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0</w:t>
      </w:r>
    </w:p>
    <w:p w:rsid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w:t>
      </w:r>
    </w:p>
    <w:p w:rsidR="00636DD0" w:rsidRPr="00636DD0" w:rsidRDefault="00636DD0" w:rsidP="00636DD0">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rPr>
          <w:rFonts w:ascii="Quattrocento Sans" w:eastAsia="Quattrocento Sans" w:hAnsi="Quattrocento Sans" w:cs="Quattrocento Sans"/>
          <w:color w:val="000000"/>
          <w:sz w:val="24"/>
          <w:szCs w:val="24"/>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Es fundamental implementar programas sociales con enfoque en sostenibilidad, equidad y bienestar comunitario.</w:t>
      </w:r>
    </w:p>
    <w:p w:rsidR="00D33F17" w:rsidRDefault="00080EDA">
      <w:pPr>
        <w:spacing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Análisis del avance frente al Plan de acción ELC</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Quattrocento Sans" w:eastAsia="Quattrocento Sans" w:hAnsi="Quattrocento Sans" w:cs="Quattrocento Sans"/>
          <w:color w:val="000000"/>
          <w:sz w:val="24"/>
          <w:szCs w:val="24"/>
        </w:rPr>
        <w:t xml:space="preserve"> </w:t>
      </w:r>
      <w:r>
        <w:rPr>
          <w:rFonts w:ascii="Century Gothic" w:eastAsia="Century Gothic" w:hAnsi="Century Gothic" w:cs="Century Gothic"/>
          <w:color w:val="002060"/>
          <w:sz w:val="22"/>
          <w:szCs w:val="22"/>
        </w:rPr>
        <w:t>Durante el año 2024, evidenció un desempeño sobresaliente, con una ejecución sólida de sus estrategias institucionales. Se destacan los avances en comunicación y penetración en nuevos mercados, innovación de productos y expansión comercial, logrando incluso superar algunas metas programadas y consolidar el posicionamiento de la marca a nivel nacional. Este comportamiento permitió fortalecer la sostenibilidad financiera y reafirmar el papel de la ELC como una empresa pública competitiva y referente del sector de licores en el país.</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No obstante, durante el primer semestre de 2025, se observa un rezago en la ejecución de varias estrategias, principalmente en las áreas de innovación, responsabilidad social empresarial y fortalecimiento del equipo comercial y de mercadeo. La reducción en la continuidad de las campañas de comunicación y la ausencia de nuevos lanzamientos han limitado la dinámica de crecimiento alcanzada el año anterior.</w:t>
      </w:r>
    </w:p>
    <w:p w:rsidR="00D33F17" w:rsidRDefault="00D33F17">
      <w:pPr>
        <w:pBdr>
          <w:top w:val="nil"/>
          <w:left w:val="nil"/>
          <w:bottom w:val="nil"/>
          <w:right w:val="nil"/>
          <w:between w:val="nil"/>
        </w:pBdr>
        <w:rPr>
          <w:rFonts w:ascii="Arial" w:eastAsia="Arial" w:hAnsi="Arial" w:cs="Arial"/>
          <w:color w:val="000000"/>
          <w:sz w:val="24"/>
          <w:szCs w:val="24"/>
        </w:rPr>
      </w:pPr>
      <w:bookmarkStart w:id="18" w:name="_GoBack"/>
      <w:bookmarkEnd w:id="18"/>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432471">
      <w:pPr>
        <w:pBdr>
          <w:top w:val="nil"/>
          <w:left w:val="nil"/>
          <w:bottom w:val="nil"/>
          <w:right w:val="nil"/>
          <w:between w:val="nil"/>
        </w:pBdr>
        <w:rPr>
          <w:rFonts w:ascii="Arial" w:eastAsia="Arial" w:hAnsi="Arial" w:cs="Arial"/>
          <w:color w:val="000000"/>
          <w:sz w:val="24"/>
          <w:szCs w:val="24"/>
        </w:rPr>
      </w:pPr>
      <w:r>
        <w:rPr>
          <w:noProof/>
        </w:rPr>
        <w:drawing>
          <wp:anchor distT="0" distB="0" distL="0" distR="0" simplePos="0" relativeHeight="251663360" behindDoc="1" locked="0" layoutInCell="1" hidden="0" allowOverlap="1" wp14:anchorId="0A939061" wp14:editId="5A1686DE">
            <wp:simplePos x="0" y="0"/>
            <wp:positionH relativeFrom="column">
              <wp:posOffset>40998</wp:posOffset>
            </wp:positionH>
            <wp:positionV relativeFrom="paragraph">
              <wp:posOffset>8861</wp:posOffset>
            </wp:positionV>
            <wp:extent cx="6781413" cy="9590157"/>
            <wp:effectExtent l="0" t="0" r="635" b="0"/>
            <wp:wrapNone/>
            <wp:docPr id="2048110476"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3"/>
                    <a:srcRect/>
                    <a:stretch>
                      <a:fillRect/>
                    </a:stretch>
                  </pic:blipFill>
                  <pic:spPr>
                    <a:xfrm>
                      <a:off x="0" y="0"/>
                      <a:ext cx="6781413" cy="9590157"/>
                    </a:xfrm>
                    <a:prstGeom prst="rect">
                      <a:avLst/>
                    </a:prstGeom>
                    <a:ln/>
                  </pic:spPr>
                </pic:pic>
              </a:graphicData>
            </a:graphic>
            <wp14:sizeRelH relativeFrom="margin">
              <wp14:pctWidth>0</wp14:pctWidth>
            </wp14:sizeRelH>
            <wp14:sizeRelV relativeFrom="margin">
              <wp14:pctHeight>0</wp14:pctHeight>
            </wp14:sizeRelV>
          </wp:anchor>
        </w:drawing>
      </w: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spacing w:line="276" w:lineRule="auto"/>
        <w:jc w:val="both"/>
        <w:rPr>
          <w:rFonts w:ascii="Arial" w:eastAsia="Arial" w:hAnsi="Arial" w:cs="Arial"/>
          <w:color w:val="002060"/>
          <w:sz w:val="24"/>
          <w:szCs w:val="24"/>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D33F17">
      <w:pPr>
        <w:spacing w:line="276" w:lineRule="auto"/>
        <w:jc w:val="both"/>
        <w:rPr>
          <w:rFonts w:ascii="Century Gothic" w:eastAsia="Century Gothic" w:hAnsi="Century Gothic" w:cs="Century Gothic"/>
          <w:color w:val="002060"/>
          <w:sz w:val="22"/>
          <w:szCs w:val="22"/>
        </w:rPr>
      </w:pPr>
    </w:p>
    <w:p w:rsidR="00D33F17" w:rsidRDefault="00080EDA">
      <w:pPr>
        <w:shd w:val="clear" w:color="auto" w:fill="FFFFFF"/>
        <w:spacing w:before="240" w:after="240" w:line="276" w:lineRule="auto"/>
        <w:jc w:val="center"/>
        <w:rPr>
          <w:rFonts w:ascii="Century Gothic" w:eastAsia="Century Gothic" w:hAnsi="Century Gothic" w:cs="Century Gothic"/>
          <w:color w:val="002060"/>
          <w:sz w:val="22"/>
          <w:szCs w:val="22"/>
        </w:rPr>
      </w:pPr>
      <w:bookmarkStart w:id="19" w:name="_heading=h.zdqufm5k707j" w:colFirst="0" w:colLast="0"/>
      <w:bookmarkEnd w:id="19"/>
      <w:r>
        <w:rPr>
          <w:rFonts w:ascii="Century Gothic" w:eastAsia="Century Gothic" w:hAnsi="Century Gothic" w:cs="Century Gothic"/>
          <w:b/>
          <w:bCs/>
          <w:color w:val="00B0F0"/>
          <w:sz w:val="22"/>
          <w:szCs w:val="22"/>
        </w:rPr>
        <w:t>EMPRESA LOTERÍA DE CUNDINAMARCA,</w:t>
      </w:r>
    </w:p>
    <w:p w:rsidR="00D33F17" w:rsidRDefault="00080EDA">
      <w:pPr>
        <w:shd w:val="clear" w:color="auto" w:fill="FFFFFF"/>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lastRenderedPageBreak/>
        <w:t xml:space="preserve">Avanza en la ejecución de las estrategias y armonizadas junto con en el Plan de Desarrollo Departamental de Cundinamarca (PDD) para el período 2024-2025. </w:t>
      </w:r>
    </w:p>
    <w:p w:rsidR="00D33F17" w:rsidRDefault="00080EDA">
      <w:pPr>
        <w:shd w:val="clear" w:color="auto" w:fill="FFFFFF"/>
        <w:spacing w:before="240"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presente informe consolida los avances, identificados al cierre del primer semestre de 2025, con el fin de evaluar el cumplimiento de los objetivos corporativos y orientar la toma de decisiones.</w:t>
      </w:r>
    </w:p>
    <w:p w:rsidR="00D33F17" w:rsidRDefault="00080EDA">
      <w:pPr>
        <w:shd w:val="clear" w:color="auto" w:fill="FFFFFF"/>
        <w:spacing w:before="240" w:after="240"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La Lotería de Cundinamarca se ha trazado los siguientes retos para el cuatrienio:</w:t>
      </w:r>
    </w:p>
    <w:p w:rsidR="00D33F17" w:rsidRDefault="00080EDA">
      <w:pPr>
        <w:numPr>
          <w:ilvl w:val="0"/>
          <w:numId w:val="10"/>
        </w:numPr>
        <w:pBdr>
          <w:top w:val="nil"/>
          <w:left w:val="nil"/>
          <w:bottom w:val="nil"/>
          <w:right w:val="nil"/>
          <w:between w:val="nil"/>
        </w:pBdr>
        <w:shd w:val="clear" w:color="auto" w:fill="FFFFFF"/>
        <w:spacing w:before="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Lograr posicionarnos en el mercado de loterías por departamento como la quinta lotería con mayor número de ventas.</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Mediante el plan de mercadeo, generar reconocimiento de marca y fidelización con distribuidores y loteros del Departamento de Cundinamarca.</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Fortalecer la venta de billetería por medios virtuales y generar actividades de marca focalizadas por departamento con beneficio a distribuidores y loteros.</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Incrementar las ventas de la lotería en el Departamento de Cundinamarca con acciones estratégicas para cada municipio en compañía de la Gobernación de Cundinamarca.</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Incrementar el porcentaje de transferencias en el sector de la salud.</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Apertura de nuevos mercados de lotería física y virtual en diferentes ciudades, por medio de nuevos distribuidores y canales de comunicación.</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Reducir la ilegalidad de venta de lotería en el Departamento de Cundinamarca.</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Mejorar las condiciones de trabajo de los colaboradores de la entidad en infraestructura y clima laboral.</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Mejorar los procesos internos con tecnología, innovación y transferencia de conocimientos.</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Mantener la Certificación del Sistema Gestión de Calidad.</w:t>
      </w:r>
    </w:p>
    <w:p w:rsidR="00D33F17" w:rsidRDefault="00080EDA">
      <w:pPr>
        <w:numPr>
          <w:ilvl w:val="0"/>
          <w:numId w:val="10"/>
        </w:num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Continuar con la implementación y ejecución del sistema de Administración del Riesgo de Lavado de Activos y Proliferación de Armas de Destrucción Masiva – SARLAFT.</w:t>
      </w:r>
    </w:p>
    <w:p w:rsidR="00D33F17" w:rsidRDefault="00080EDA">
      <w:pPr>
        <w:numPr>
          <w:ilvl w:val="0"/>
          <w:numId w:val="10"/>
        </w:numPr>
        <w:pBdr>
          <w:top w:val="nil"/>
          <w:left w:val="nil"/>
          <w:bottom w:val="nil"/>
          <w:right w:val="nil"/>
          <w:between w:val="nil"/>
        </w:pBdr>
        <w:shd w:val="clear" w:color="auto" w:fill="FFFFFF"/>
        <w:spacing w:after="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Implementar el modelo de seguridad y privacidad de la información de acuerdo a los lineamientos de MINTIC Colombia.</w:t>
      </w:r>
    </w:p>
    <w:p w:rsidR="00D33F17" w:rsidRDefault="00D33F17">
      <w:pPr>
        <w:shd w:val="clear" w:color="auto" w:fill="FFFFFF"/>
        <w:spacing w:before="240" w:after="240"/>
        <w:jc w:val="both"/>
        <w:rPr>
          <w:rFonts w:ascii="Century Gothic" w:eastAsia="Century Gothic" w:hAnsi="Century Gothic" w:cs="Century Gothic"/>
          <w:color w:val="002060"/>
          <w:sz w:val="22"/>
          <w:szCs w:val="22"/>
        </w:rPr>
      </w:pPr>
    </w:p>
    <w:p w:rsidR="00D33F17" w:rsidRDefault="00D33F17">
      <w:pPr>
        <w:shd w:val="clear" w:color="auto" w:fill="FFFFFF"/>
        <w:spacing w:before="240" w:after="240"/>
        <w:jc w:val="both"/>
        <w:rPr>
          <w:rFonts w:ascii="Century Gothic" w:eastAsia="Century Gothic" w:hAnsi="Century Gothic" w:cs="Century Gothic"/>
          <w:color w:val="002060"/>
          <w:sz w:val="22"/>
          <w:szCs w:val="22"/>
        </w:rPr>
      </w:pPr>
    </w:p>
    <w:p w:rsidR="00D33F17" w:rsidRDefault="00D33F17">
      <w:pPr>
        <w:shd w:val="clear" w:color="auto" w:fill="FFFFFF"/>
        <w:spacing w:before="240" w:after="240"/>
        <w:jc w:val="both"/>
        <w:rPr>
          <w:rFonts w:ascii="Century Gothic" w:eastAsia="Century Gothic" w:hAnsi="Century Gothic" w:cs="Century Gothic"/>
          <w:color w:val="002060"/>
          <w:sz w:val="22"/>
          <w:szCs w:val="22"/>
        </w:rPr>
      </w:pPr>
    </w:p>
    <w:tbl>
      <w:tblPr>
        <w:tblStyle w:val="afffb"/>
        <w:tblW w:w="8354" w:type="dxa"/>
        <w:jc w:val="center"/>
        <w:tblInd w:w="0" w:type="dxa"/>
        <w:tblLayout w:type="fixed"/>
        <w:tblLook w:val="0400" w:firstRow="0" w:lastRow="0" w:firstColumn="0" w:lastColumn="0" w:noHBand="0" w:noVBand="1"/>
      </w:tblPr>
      <w:tblGrid>
        <w:gridCol w:w="2825"/>
        <w:gridCol w:w="3119"/>
        <w:gridCol w:w="2410"/>
      </w:tblGrid>
      <w:tr w:rsidR="00D33F17">
        <w:trPr>
          <w:trHeight w:val="460"/>
          <w:jc w:val="center"/>
        </w:trPr>
        <w:tc>
          <w:tcPr>
            <w:tcW w:w="835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lastRenderedPageBreak/>
              <w:t>Empresa Lotería de Cundinamarca</w:t>
            </w:r>
          </w:p>
        </w:tc>
      </w:tr>
      <w:tr w:rsidR="00D33F17">
        <w:trPr>
          <w:trHeight w:val="501"/>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trPr>
          <w:trHeight w:val="89"/>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36"/>
                <w:szCs w:val="36"/>
              </w:rPr>
            </w:pPr>
            <w:r>
              <w:rPr>
                <w:rFonts w:ascii="Century Gothic" w:eastAsia="Century Gothic" w:hAnsi="Century Gothic" w:cs="Century Gothic"/>
                <w:b/>
                <w:bCs/>
                <w:color w:val="002060"/>
                <w:sz w:val="26"/>
                <w:szCs w:val="26"/>
              </w:rPr>
              <w:t>5</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5</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0</w:t>
            </w:r>
          </w:p>
        </w:tc>
      </w:tr>
    </w:tbl>
    <w:p w:rsidR="00D33F17" w:rsidRDefault="00D33F17">
      <w:pPr>
        <w:jc w:val="center"/>
        <w:rPr>
          <w:rFonts w:ascii="Century Gothic" w:eastAsia="Century Gothic" w:hAnsi="Century Gothic" w:cs="Century Gothic"/>
          <w:b/>
          <w:bCs/>
          <w:color w:val="00B0F0"/>
          <w:sz w:val="28"/>
          <w:szCs w:val="28"/>
        </w:rPr>
      </w:pPr>
    </w:p>
    <w:p w:rsidR="00D33F17" w:rsidRDefault="00080EDA">
      <w:pPr>
        <w:jc w:val="center"/>
        <w:rPr>
          <w:rFonts w:ascii="Century Gothic" w:eastAsia="Century Gothic" w:hAnsi="Century Gothic" w:cs="Century Gothic"/>
          <w:b/>
          <w:bCs/>
          <w:color w:val="00B0F0"/>
          <w:sz w:val="28"/>
          <w:szCs w:val="28"/>
        </w:rPr>
      </w:pPr>
      <w:r>
        <w:rPr>
          <w:rFonts w:ascii="Century Gothic" w:eastAsia="Century Gothic" w:hAnsi="Century Gothic" w:cs="Century Gothic"/>
          <w:b/>
          <w:bCs/>
          <w:color w:val="00B0F0"/>
          <w:sz w:val="28"/>
          <w:szCs w:val="28"/>
        </w:rPr>
        <w:t>ESTRATEGIAS:</w:t>
      </w:r>
    </w:p>
    <w:p w:rsidR="00D33F17" w:rsidRDefault="00D33F17">
      <w:pPr>
        <w:jc w:val="center"/>
        <w:rPr>
          <w:rFonts w:ascii="Century Gothic" w:eastAsia="Century Gothic" w:hAnsi="Century Gothic" w:cs="Century Gothic"/>
          <w:b/>
          <w:bCs/>
          <w:color w:val="00B0F0"/>
          <w:sz w:val="28"/>
          <w:szCs w:val="28"/>
        </w:rPr>
      </w:pPr>
    </w:p>
    <w:p w:rsidR="00D33F17" w:rsidRDefault="00D33F17"/>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estructura de comercialización, permitiendo incrementar la generación de ingresos mediante nuevas metodologías y canales de comunicación efectivos para ventas personales y virtuales.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Incrementar las ventas de la lotería en el Departamento de Cundinamarca con acciones estratégicas para cada municipio en compañía de la Gobernación de Cundinamarca</w:t>
      </w:r>
      <w:r>
        <w:rPr>
          <w:rFonts w:ascii="Century Gothic" w:eastAsia="Century Gothic" w:hAnsi="Century Gothic" w:cs="Century Gothic"/>
          <w:b/>
          <w:bCs/>
          <w:color w:val="002060"/>
          <w:sz w:val="22"/>
          <w:szCs w:val="22"/>
        </w:rPr>
        <w:t>.</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Fortalecer la estructura de comercialización, permitiendo incrementar la generación de ingresos mediante nuevas metodologías y canales de comunicación efectivos para ventas personales y virtuales y Mantener un crecimiento en ventas anuales sobre la base de ventas al cierre de la vigencia 2023.</w:t>
      </w:r>
    </w:p>
    <w:tbl>
      <w:tblPr>
        <w:tblStyle w:val="afffc"/>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 w:rsidR="00D33F17" w:rsidRDefault="00080EDA">
      <w:pPr>
        <w:pBdr>
          <w:top w:val="nil"/>
          <w:left w:val="nil"/>
          <w:bottom w:val="nil"/>
          <w:right w:val="nil"/>
          <w:between w:val="nil"/>
        </w:pBdr>
        <w:shd w:val="clear" w:color="auto" w:fill="FFFFFF"/>
        <w:spacing w:line="360"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spacing w:line="360"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físico acumulado:100% </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Se consolidó un crecimiento promedio del 0,5% durante el primer semestre al comparar ventas de $27.516.520.000 frente a $27.644.987.500, de tal forma que aumentó el recaudo por valor de $128.467.500. Así las cosas, una vez obtenido este incremento, se realizaron las transferencias a la Salud por $6.846.132.384 y los giros correspondientes a Cundinamarca por $5.368.140.047.</w:t>
      </w:r>
    </w:p>
    <w:p w:rsidR="00D33F17" w:rsidRDefault="00D33F17">
      <w:pPr>
        <w:jc w:val="both"/>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estructura de comercialización, permitiendo incrementar la generación de ingresos mediante nuevas metodologías y canales de comunicación efectivos para ventas personales y virtuales.</w:t>
      </w:r>
    </w:p>
    <w:p w:rsidR="00D33F17" w:rsidRDefault="00D33F17">
      <w:pPr>
        <w:jc w:val="both"/>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Lograr posicionarnos en el mercado de loterías por departamento como la quinta lotería con mayor número de ventas.</w:t>
      </w: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Fortalecer la estructura de comercialización, permitiendo incrementar la generación de ingresos mediante nuevas metodologías y canales de comunicación efectivos para ventas personales y virtuales y elaborar 4 planes de mercadeo y realizar sus respectivos seguimientos</w:t>
      </w:r>
    </w:p>
    <w:p w:rsidR="00D33F17" w:rsidRDefault="00D33F17"/>
    <w:tbl>
      <w:tblPr>
        <w:tblStyle w:val="afffd"/>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D33F17"/>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ejecutó un plan de incentivos a la fuerza de ventas denominado “La competencia es conmigo” en el marco del Plan de Mercadeo, de tal forma que se impulsó un crecimiento en ventas superior al 10% con la asignación de premios de bonos redimibles en supermercados. Así las cosas, se desarrollaron dos promocionales con incentivo del “Martes de la Cundi” y se continuó con la estrategia de incentivo a la venta de secos con serie, mayor sin serie y combinado, logrando activaciones de marca y presencia permanente en las diferentes regiones del país.</w:t>
      </w:r>
    </w:p>
    <w:p w:rsidR="00D33F17" w:rsidRDefault="00D33F17">
      <w:pPr>
        <w:rPr>
          <w:rFonts w:ascii="Century Gothic" w:eastAsia="Century Gothic" w:hAnsi="Century Gothic" w:cs="Century Gothic"/>
          <w:color w:val="002060"/>
          <w:sz w:val="22"/>
          <w:szCs w:val="22"/>
        </w:rPr>
      </w:pPr>
    </w:p>
    <w:p w:rsidR="00D33F17" w:rsidRDefault="00080EDA">
      <w:pPr>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estructura de comercialización, permitiendo incrementar la generación de ingresos mediante nuevas metodologías y canales de comunicación efectivos para ventas personales y virtuales.</w:t>
      </w:r>
    </w:p>
    <w:p w:rsidR="00D33F17" w:rsidRDefault="00D33F17"/>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Apertura de nuevos mercados de lotería física y virtual en diferentes ciudades, por medio de nuevos distribuidores y canales de comunicación.</w:t>
      </w: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Fortalecer la estructura de comercialización, permitiendo incrementar la generación de ingresos mediante nuevas metodologías y canales de comunicación efectivos para ventas personales y virtuales y asistir al menos a 8 espacios de participación ciudadana por año (Ferias, Consejos de Gobierno Departamentales, Formulación de Planes con partes interesadas, Participación en emisoras, entre otros)</w:t>
      </w:r>
    </w:p>
    <w:p w:rsidR="00D33F17" w:rsidRDefault="00D33F17"/>
    <w:tbl>
      <w:tblPr>
        <w:tblStyle w:val="afffe"/>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¿Qué se ha hecho?:</w:t>
      </w:r>
      <w:r>
        <w:rPr>
          <w:rFonts w:ascii="Century Gothic" w:eastAsia="Century Gothic" w:hAnsi="Century Gothic" w:cs="Century Gothic"/>
          <w:color w:val="002060"/>
          <w:sz w:val="22"/>
          <w:szCs w:val="22"/>
        </w:rPr>
        <w:t xml:space="preserve"> Se ejecutó un plan de incentivos a la fuerza de ventas denominado “La competencia es conmigo” en el marco del Plan de Mercadeo, de tal forma que se impulsó un crecimiento en ventas superior al 10%, mediante la entrega de premios como bonos redimibles en supermercados de gran superficie. Así las cosas, se ejecutaron dos promocionales con incentivo del “Martes de la cundi” y se continuó con la estrategia de incentivo a la venta de secos con serie, mayor sin serie y combinado en la serie del mayor. Se logró la ejecución de 11 activaciones de marca y la presencia permanente en las diferentes regiones del país.</w:t>
      </w:r>
    </w:p>
    <w:p w:rsidR="00D33F17" w:rsidRDefault="00D33F17">
      <w:pPr>
        <w:jc w:val="both"/>
        <w:rPr>
          <w:rFonts w:ascii="Century Gothic" w:eastAsia="Century Gothic" w:hAnsi="Century Gothic" w:cs="Century Gothic"/>
          <w:color w:val="002060"/>
          <w:sz w:val="22"/>
          <w:szCs w:val="22"/>
        </w:rPr>
      </w:pPr>
    </w:p>
    <w:p w:rsidR="00D33F17" w:rsidRDefault="00080EDA">
      <w:pPr>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estructura de comercialización, permitiendo incrementar la generación de ingresos mediante nuevas metodologías y canales de comunicación efectivos para ventas personales y virtuales.</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Fortalecer la venta de billetería por medios virtuales y generar actividades de marca focalizadas por departamento con beneficio a distribuidores y loteros.</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Fortalecer la estructura de comercialización, permitiendo incrementar la generación de ingresos mediante nuevas metodologías y canales de comunicación efectivos para ventas personales y virtuales; realizar anualmente una campaña en redes sociales que consiga captar nuevas audiencias sobre el cómo realizar el proceso de compra de lotería con nuestra entidad.</w:t>
      </w:r>
    </w:p>
    <w:tbl>
      <w:tblPr>
        <w:tblStyle w:val="affff"/>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ejecutó un plan de incentivos a la fuerza de ventas denominado “La competencia es conmigo” en el marco del Plan de Mercadeo, de tal forma que se impulsó un crecimiento en ventas superior al 10%, mediante la entrega de premios como bonos redimibles en supermercados de gran superficie. Así las cosas, se ejecutaron dos promocionales con incentivo del “Martes de la cundi” y se continuó con la estrategia de incentivo a la venta de secos con serie, mayor sin serie y combinado en la serie del mayor. Se logró la ejecución de 11 activaciones de marca y la presencia permanente en las diferentes regiones del país.</w:t>
      </w:r>
    </w:p>
    <w:p w:rsidR="00D33F17" w:rsidRDefault="00D33F17">
      <w:pPr>
        <w:rPr>
          <w:rFonts w:ascii="Century Gothic" w:eastAsia="Century Gothic" w:hAnsi="Century Gothic" w:cs="Century Gothic"/>
          <w:color w:val="002060"/>
          <w:sz w:val="22"/>
          <w:szCs w:val="22"/>
        </w:rPr>
      </w:pPr>
    </w:p>
    <w:p w:rsidR="00D33F17" w:rsidRDefault="00080EDA">
      <w:pPr>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estructura de comercialización, permitiendo incrementar la generación de ingresos mediante nuevas metodologías y canales de comunicación efectivos para ventas personales y virtuales.</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Fortalecer la venta de billetería por medios virtuales y generar actividades de marca focalizadas por departamento con beneficio a distribuidores y loteros.</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Actividad:</w:t>
      </w:r>
      <w:r>
        <w:rPr>
          <w:rFonts w:ascii="Century Gothic" w:eastAsia="Century Gothic" w:hAnsi="Century Gothic" w:cs="Century Gothic"/>
          <w:color w:val="002060"/>
          <w:sz w:val="22"/>
          <w:szCs w:val="22"/>
        </w:rPr>
        <w:t xml:space="preserve"> Fortalecer la estructura de comercialización, permitiendo incrementar la generación de ingresos mediante nuevas metodologías y canales de comunicación efectivos para ventas personales y virtuales; realizar las transferencias al sector de la Salud, de acuerdo con la normatividad aplicable.</w:t>
      </w:r>
    </w:p>
    <w:tbl>
      <w:tblPr>
        <w:tblStyle w:val="affff0"/>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ejecutó un plan de incentivos a la fuerza de ventas denominado “La competencia es conmigo” en el marco del Plan de Mercadeo, de tal forma que se impulsó un crecimiento en ventas superior al 10%, mediante la entrega de premios como bonos redimibles en supermercados de gran superficie. Así las cosas, se desarrollaron dos promocionales con incentivo del “Martes de la cundi” y se continuó con la estrategia de incentivo a la venta de secos con serie, mayor sin serie y combinado en la serie del mayor. Adicionalmente, se realizaron 71 publicaciones freepress y 15 Boletines de prensa, acompañado de entrevistas en Medios Locales y Nacionales con 2 pauta publicitaria (1 en revista semana y 1 en revista apuesta), y se apoyó al equipo de subgerencia con 9 pautas, 9 en Pulzo y 3 en Todelar. Se logró la ejecución de 11 activaciones de marca y la presencia permanente en las diferentes regiones del país.</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Implementar mecanismos que fortalezcan las condiciones de disponibilidad, integridad y confidencialidad de la información, como herramientas fundamentales de calidad de la operación y eficiencia administrativa.</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Continuar con la implementación y ejecución del sistema de Administración del Riesgo de Lavado de Activos y Proliferación de Armas de Destrucción Masiva – SARLAFT.</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Implementar mecanismos que fortalezcan las condiciones de disponibilidad, integridad y confidencialidad de la información, como herramientas fundamentales de calidad de la operación y eficiencia administrativa. y Desarrollar y poner en funcionamiento un sistema de venta en línea en el sitio web de la Lotería de Cundinamarca.</w:t>
      </w: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tbl>
      <w:tblPr>
        <w:tblStyle w:val="affff1"/>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25%</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lastRenderedPageBreak/>
        <w:t>Avance físico acumulado: 1</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Lotería de Cundinamarca cuenta con un sistema de venta virtual operado a través de un acuerdo comercial con la Lotería de Medellín, el cual permite realizar transacciones mediante un botón de pago integrado en la página web institucional. Este modelo se basa en un portal de marca blanca desarrollado bajo tecnología Progressive Web App (PWA), que utiliza la infraestructura tecnológica de la Lotería de Medellín y mantiene la imagen exclusiva de la Lotería de Cundinamarca.</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Dicho acuerdo constituye una alianza estratégica para fortalecer la digitalización del proceso de venta, garantizando el cumplimiento de estándares técnicos, legales y comerciales definidos por la Lotería de Medellín. Además, los términos y condiciones del portal se rigen por la normativa establecida para este servicio, asegurando su operación adecuada y continua.</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Implementar mecanismos que fortalezcan las condiciones de disponibilidad, integridad y confidencialidad de la información, como herramientas fundamentales de calidad de la operación y eficiencia administrativa.</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Continuar con la implementación y ejecución del sistema de Administración del Riesgo de Lavado de Activos y Proliferación de Armas de Destrucción Masiva – SARLAFT..</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Implementar mecanismos que fortalezcan las condiciones de disponibilidad, integridad  y confidencialidad  de la  información, como herramientas fundamentales de calidad  de la  operación  y eficiencia  administrativa. Y desarrollar la estrategia para la identificación de Billeteria falsa.</w:t>
      </w:r>
    </w:p>
    <w:tbl>
      <w:tblPr>
        <w:tblStyle w:val="affff2"/>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25%</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entidad ha adelantado diversas acciones contractuales orientadas a fortalecer la promoción del juego legal y la lucha contra el juego ilegal. Estas incluyen la ejecución de eventos institucionales, el desarrollo de campañas de marketing y la implementación de estrategias de comunicación en distintos medios, tales como espacios radiales, portales deportivos y plataformas digitales. Asimismo, se llevaron a cabo actividades publicitarias en espacios de alta visibilidad, participación en eventos especializados y acciones de sensibilización dirigidas a la ciudadanía.</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70C0"/>
          <w:sz w:val="24"/>
          <w:szCs w:val="24"/>
        </w:rPr>
      </w:pPr>
      <w:r>
        <w:rPr>
          <w:rFonts w:ascii="Century Gothic" w:eastAsia="Century Gothic" w:hAnsi="Century Gothic" w:cs="Century Gothic"/>
          <w:color w:val="002060"/>
          <w:sz w:val="22"/>
          <w:szCs w:val="22"/>
        </w:rPr>
        <w:t>De igual manera, se contrataron servicios logísticos y profesionales para apoyar procesos internos, realizar activaciones, capacitaciones y asegurar el acompañamiento necesario para el cumplimiento del plan estratégico de control al juego ilegal. En conjunto, estas intervenciones buscan fortalecer la presencia institucional, promover la legalidad y consolidar mecanismos integrales de prevención y control.</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Implementar mecanismos que fortalezcan las condiciones de disponibilidad, integridad y confidencialidad de la información, como herramientas fundamentales de calidad de la operación y eficiencia administrativa.</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Reducir la ilegalidad de venta de lotería en el Departamento de Cundinamarca.</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Incrementar la detección y el cierre de operaciones de juego ilegal en el sector de las loterías, mejorando así la confianza y la seguridad entre las partes interesada y ejecutar 16 campañas comerciales de promoción de juego legal.</w:t>
      </w:r>
    </w:p>
    <w:tbl>
      <w:tblPr>
        <w:tblStyle w:val="affff3"/>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60%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entidad desarrolló diversas campañas orientadas a promover el juego legal y fortalecer las estrategias de control frente al juego ilegal. Entre estas acciones se elaboraron materiales pedagógicos como cartillas y trípticos, se adelantaron campañas conjuntas con aliados estratégicos, y se impulsaron iniciativas de sensibilización dirigidas a comerciantes y ciudadanía sobre la obligatoriedad de contar con autorizaciones para la realización de rifas y sorteos. También se realizaron actividades de divulgación en el marco de campañas institucionales, incluyendo Navidad Legal y activaciones de marca que reforzaron el mensaje de juego responsable y autorizado.</w:t>
      </w: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Adicionalmente, se avanzó en la actualización del proyecto de control del juego ilegal, se gestionaron espacios de articulación con equipos técnicos y jurídicos de entidades aliadas, y se promovieron mesas de trabajo para definir estrategias coordinadas en la prevención y mitigación de prácticas ilícitas. Estas acciones permitieron consolidar esfuerzos interinstitucionales y fortalecer la construcción de conocimiento y mecanismos de intervención orientados a la protección del juego legal.</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Implementar mecanismos que fortalezcan las condiciones de disponibilidad, integridad y confidencialidad de la información, como herramientas fundamentales de calidad de la operación y eficiencia administrativa.</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Reducir la ilegalidad de venta de lotería en el Departamento de Cundinamarca.</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Incrementar la detección y el cierre de operaciones de juego ilegal en el sector de las loterías, mejorando así la confianza y la seguridad entre las partes interesada y Ejecutar 16 capacitaciones sobre juego legal</w:t>
      </w:r>
    </w:p>
    <w:tbl>
      <w:tblPr>
        <w:tblStyle w:val="affff4"/>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60%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entidad adelantó diversas actividades para fortalecer la cultura de la legalidad y promover el juego autorizado en el departamento. Entre estas acciones se realizaron múltiples capacitaciones en municipios de Cundinamarca, se suscribió el pacto por la legalidad con autoridades departamentales y nacionales, y se desarrollaron eventos institucionales que destacaron la importancia de proteger los recursos destinados a la salud. Asimismo, se llevaron a cabo iniciativas pedagógicas y campañas de sensibilización dirigidas a la ciudadanía y aliados estratégicos, incluyendo acciones conjuntas con operadores del sector para incentivar el juego legal.</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De manera complementaria, se sostuvieron reuniones con instituciones académicas y entidades públicas para evaluar la viabilidad de alianzas interadministrativas orientadas a fortalecer la cultura de legalidad. También se realizaron acercamientos con autoridades locales y organismos de control para programar nuevas capacitaciones, y se celebraron contratos de divulgación en medios de comunicación con el fin de amplificar los mensajes y estrategias de control del juego ilegal.</w:t>
      </w: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Generar alianzas con el gremio de loterías para operar el sorteo extraordinario directamente, en asocio y/o mediante licenciamiento de marca.</w:t>
      </w: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Mediante el plan de mercadeo, generar reconocimiento de marca y fidelización con distribuidores y loteros del Departamento de Cundinamarca..</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Generar alianzas con el gremio de loterías para operar el sorteo extraordinario directamente, en asocio y/o mediante licenciamiento de marca</w:t>
      </w:r>
    </w:p>
    <w:tbl>
      <w:tblPr>
        <w:tblStyle w:val="affff5"/>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Lotería de Cundinamarca, desde la Subgerencia General, ha iniciado las acciones necesarias para poner en el mercado el Sorteo Extraordinario de Navidad “El que siempre se agota”.</w:t>
      </w: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lastRenderedPageBreak/>
        <w:t>Asimismo, se realizó el envío de la propuesta y la invitación oficial a las 14 loterías del país, con el fin de promover su participación y articular esfuerzos para fortalecer el impacto y la difusión del sorteo a nivel nacional.</w:t>
      </w:r>
    </w:p>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Mantener el modelo de operación y funcionamiento institucional bajo el proceso de gestión de calidad, MECI y MIPG. </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Implementar el modelo de seguridad y privacidad de la información de acuerdo a los lineamientos de MINTIC Colombia.</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Implementar un Software para administración, seguimiento, gestión y articulación del sistema integrado MIPG, MECI y gestión de calidad</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tbl>
      <w:tblPr>
        <w:tblStyle w:val="affff6"/>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45%</w:t>
      </w:r>
    </w:p>
    <w:p w:rsidR="00D33F17" w:rsidRDefault="00D33F17"/>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avanza en la implementación del software especializado para la administración, seguimiento y gestión del Sistema Integrado MIPG, Gestión de la Calidad, Gestión Documental y SARLAFT; durante el proceso se han desarrollado las siguientes etapas: la Fase 01 de preparación, que incluyó la elaboración del plan de trabajo y la instalación de los ambientes de prueba y producción; la Fase 02 de parametrización, correspondiente a la selección y configuración de las plantillas de visualización de documentos; y la Fase 03 de capacitación e implementación, en la cual se ejecutó la configuración de los módulos al 100%, la gestión del cambio y los planes de trabajo al 100%, y se alcanzó un avance del 30% en el módulo documental, todo lo cual se encuentra soportado en el Acta No. 3 del Comité de Desempeño del proyecto Implementación Software Isolucion – Informe de Avance.</w:t>
      </w:r>
    </w:p>
    <w:p w:rsidR="00D33F17" w:rsidRDefault="00D33F17">
      <w:pPr>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Mantener el modelo de operación y funcionamiento institucional bajo el proceso de gestión de calidad, MECI y MIPG. </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Mantener la Certificación del Sistema Gestión de Calidad..</w:t>
      </w: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Ejecutar 3 procesos de Auditorías externas para mantener la certificación en ISO 9001:2015</w:t>
      </w:r>
    </w:p>
    <w:tbl>
      <w:tblPr>
        <w:tblStyle w:val="affff7"/>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45%</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45%</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ha avanzado en el trámite administrativo para dar inicio al proceso contractual destinado a la realización de la auditoría de seguimiento. Este progreso contribuye a garantizar la continuidad en la verificación del cumplimiento de los estándares institucionales, la evaluación de los avances y la definición de acciones de mejora, en coherencia con los lineamientos de control interno y las responsabilidades misionales de la entidad</w:t>
      </w:r>
      <w:r>
        <w:rPr>
          <w:rFonts w:ascii="Century Gothic" w:eastAsia="Century Gothic" w:hAnsi="Century Gothic" w:cs="Century Gothic"/>
          <w:b/>
          <w:bCs/>
          <w:color w:val="002060"/>
          <w:sz w:val="22"/>
          <w:szCs w:val="22"/>
        </w:rPr>
        <w:t>.</w:t>
      </w:r>
    </w:p>
    <w:p w:rsidR="00D33F17" w:rsidRDefault="00D33F17">
      <w:pPr>
        <w:jc w:val="both"/>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Mantener el modelo de operación y funcionamiento institucional bajo el proceso de gestión de calidad, MECI y MIPG. </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Mantener la Certificación del Sistema Gestión de Calidad.</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Mejorar el sistema de Gestión Documental.</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tbl>
      <w:tblPr>
        <w:tblStyle w:val="affff8"/>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45%</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45%</w:t>
      </w:r>
    </w:p>
    <w:p w:rsidR="00D33F17" w:rsidRDefault="00D33F17"/>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La Empresa Industrial y Comercial Lotería de Cundinamarca, en cumplimiento de lo establecido en el Acuerdo 001 de 2024 —particularmente en el Título V, Capítulo 1, Sesión 4, numerales 6, 7, 8 y 9— y atendiendo la necesidad de incorporar los principios y criterios para la organización de expedientes electrónicos previstos en el Título IV, Capítulo 3, Sesión 2 de la misma normativa, incluyó en su Plan Institucional de Archivos (PINAR) y en el Plan de Acción de la entidad la actualización de las Tablas de Retención Documental (TRD) vigentes, convalidadas en julio de 2023 por el Consejo Departamental de Archivos de Cundinamarca y registradas ante el Archivo General de la Nación; en coherencia con ello, se ha avanzado en la ejecución del proceso de actualización de las TRD, en cumplimiento del marco legal de Gestión Documental aplicable, fortaleciendo así la organización, conservación y disposición final de la información institucional.</w:t>
      </w: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Mantener el modelo de operación y funcionamiento institucional bajo el proceso de gestión de calidad, MECI y MIPG. </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Mantener la Certificación del Sistema Gestión de Calidad.</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Actividad:</w:t>
      </w:r>
      <w:r>
        <w:rPr>
          <w:rFonts w:ascii="Century Gothic" w:eastAsia="Century Gothic" w:hAnsi="Century Gothic" w:cs="Century Gothic"/>
          <w:color w:val="002060"/>
          <w:sz w:val="22"/>
          <w:szCs w:val="22"/>
        </w:rPr>
        <w:t xml:space="preserve"> Continuar con la implementación del Sistema para administración, seguimiento, SARLAFT.</w:t>
      </w:r>
    </w:p>
    <w:p w:rsidR="00D33F17" w:rsidRDefault="00D33F17">
      <w:pPr>
        <w:pBdr>
          <w:top w:val="nil"/>
          <w:left w:val="nil"/>
          <w:bottom w:val="nil"/>
          <w:right w:val="nil"/>
          <w:between w:val="nil"/>
        </w:pBdr>
        <w:shd w:val="clear" w:color="auto" w:fill="FFFFFF"/>
        <w:rPr>
          <w:color w:val="000000"/>
          <w:sz w:val="24"/>
          <w:szCs w:val="24"/>
        </w:rPr>
      </w:pPr>
    </w:p>
    <w:tbl>
      <w:tblPr>
        <w:tblStyle w:val="affff9"/>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25%</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¿Qué se ha hecho? </w:t>
      </w:r>
      <w:r>
        <w:rPr>
          <w:rFonts w:ascii="Century Gothic" w:eastAsia="Century Gothic" w:hAnsi="Century Gothic" w:cs="Century Gothic"/>
          <w:color w:val="002060"/>
          <w:sz w:val="22"/>
          <w:szCs w:val="22"/>
        </w:rPr>
        <w:t>El avance se evidencia en la adquisición e implementación de herramientas tecnológicas orientadas a fortalecer la atención al ciudadano, la seguridad de la información y la gestión interna. Entre ellas se destaca la puesta en marcha del sistema CRM, que integra ventanilla única de atención, seguimiento de PQRS, chat interactivo, módulo de preguntas frecuentes, estadísticas y recopilación centralizada de datos de contacto, alcanzando un funcionamiento del 100%.</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De manera complementaria, se realizaron pruebas técnicas y tácticas especializadas para identificar vulnerabilidades y robustecer la infraestructura tecnológica, adoptando buenas prácticas internacionales como ISO 27001, ISO 27002, ITIL y COBIT, con el fin de garantizar la continuidad del negocio y mitigar riesgos asociados. Asimismo, avanzó la implementación del software Isolucion, alcanzando un 59% de progreso en su fase de producción, contribuyendo al fortalecimiento del Sistema Integrado de Gestión.</w:t>
      </w:r>
    </w:p>
    <w:p w:rsidR="00D33F17" w:rsidRDefault="00D33F17"/>
    <w:p w:rsidR="00D33F17" w:rsidRDefault="00D33F17"/>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Mantener el modelo de operación y funcionamiento institucional bajo el proceso de gestión de calidad, MECI y MIPG. </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Mejorar los procesos internos con tecnología, innovación y transferencia de conocimientos.</w:t>
      </w:r>
    </w:p>
    <w:p w:rsidR="00D33F17" w:rsidRDefault="00D33F17">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Fortalecer la Política de servicio al ciudadano (SAC)</w:t>
      </w:r>
    </w:p>
    <w:p w:rsidR="00D33F17" w:rsidRDefault="00D33F17">
      <w:pPr>
        <w:pBdr>
          <w:top w:val="nil"/>
          <w:left w:val="nil"/>
          <w:bottom w:val="nil"/>
          <w:right w:val="nil"/>
          <w:between w:val="nil"/>
        </w:pBdr>
        <w:shd w:val="clear" w:color="auto" w:fill="FFFFFF"/>
        <w:rPr>
          <w:color w:val="000000"/>
          <w:sz w:val="24"/>
          <w:szCs w:val="24"/>
        </w:rPr>
      </w:pPr>
    </w:p>
    <w:tbl>
      <w:tblPr>
        <w:tblStyle w:val="affffa"/>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70%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70%</w:t>
      </w:r>
    </w:p>
    <w:p w:rsidR="00D33F17" w:rsidRDefault="00D33F17"/>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¿Qué se ha hecho?</w:t>
      </w:r>
      <w:r>
        <w:t xml:space="preserve"> </w:t>
      </w:r>
      <w:r>
        <w:rPr>
          <w:rFonts w:ascii="Century Gothic" w:eastAsia="Century Gothic" w:hAnsi="Century Gothic" w:cs="Century Gothic"/>
          <w:color w:val="002060"/>
          <w:sz w:val="22"/>
          <w:szCs w:val="22"/>
        </w:rPr>
        <w:t>El avance se materializa en el fortalecimiento de la infraestructura tecnológica y la modernización de las herramientas de trabajo de la entidad. Durante la vigencia se adquirieron licencias Microsoft 365 que permiten el acceso a herramientas colaborativas como Teams, OneDrive con capacidad de 1 TB por usuario y correo institucional con dominio personalizado, además de asegurar la migración ordenada de la información y la continuidad del servicio. Posteriormente, se amplió esta capacidad mediante la compra de 53 nuevas licencias, acompañadas de soporte técnico especializado, herramientas de gestión y la implementación de servicios en línea orientados al fortalecimiento de los procesos de innovación tecnológica y transformación digital de la Empresa Industrial y Comercial Lotería de Cundinamarca.</w:t>
      </w:r>
    </w:p>
    <w:p w:rsidR="00D33F17" w:rsidRDefault="00D33F17">
      <w:pPr>
        <w:jc w:val="both"/>
        <w:rPr>
          <w:rFonts w:ascii="Century Gothic" w:eastAsia="Century Gothic" w:hAnsi="Century Gothic" w:cs="Century Gothic"/>
          <w:color w:val="002060"/>
          <w:sz w:val="22"/>
          <w:szCs w:val="22"/>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De igual forma, se avanzó en la renovación del parque tecnológico mediante la adquisición de equipos ofimáticos —impresoras, escáneres, computadores All in One, portátiles e iPads—, lo que permite mejorar la productividad, optimizar los tiempos de respuesta y robustecer los procesos internos de la entidad.</w:t>
      </w:r>
    </w:p>
    <w:p w:rsidR="00D33F17" w:rsidRDefault="00D33F17">
      <w:pPr>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Aplicar planes y programas en la empresa para la gestión y seguridad del talento humano.</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Mejorar las condiciones de trabajo de los colaboradores de la entidad en infraestructura y clima laboral.</w:t>
      </w:r>
    </w:p>
    <w:p w:rsidR="00D33F17" w:rsidRDefault="00D33F17">
      <w:pPr>
        <w:jc w:val="both"/>
        <w:rPr>
          <w:rFonts w:ascii="Century Gothic" w:eastAsia="Century Gothic" w:hAnsi="Century Gothic" w:cs="Century Gothic"/>
          <w:color w:val="002060"/>
          <w:sz w:val="22"/>
          <w:szCs w:val="22"/>
        </w:rPr>
      </w:pPr>
    </w:p>
    <w:p w:rsidR="00D33F17" w:rsidRDefault="00080EDA">
      <w:pPr>
        <w:jc w:val="both"/>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Capacitar y concientizar sobre las relaciones con el medio ambiente, asegurando un  equilibrio entre el desarrollo humano y  la  sostenibilidad  ambiental  dentro de la  empresa. Desarrollando una cultura corporativa que capacite y conciencie a los empleados sobre la importancia de mantener relaciones sostenibles con el medio ambiente, garantizando un equilibrio entre el desarrollo humano y la sostenibilidad ambiental dentro de la empresa.</w:t>
      </w:r>
    </w:p>
    <w:p w:rsidR="00D33F17" w:rsidRDefault="00D33F17">
      <w:pPr>
        <w:pBdr>
          <w:top w:val="nil"/>
          <w:left w:val="nil"/>
          <w:bottom w:val="nil"/>
          <w:right w:val="nil"/>
          <w:between w:val="nil"/>
        </w:pBdr>
        <w:shd w:val="clear" w:color="auto" w:fill="FFFFFF"/>
        <w:rPr>
          <w:color w:val="000000"/>
          <w:sz w:val="24"/>
          <w:szCs w:val="24"/>
        </w:rPr>
      </w:pPr>
    </w:p>
    <w:p w:rsidR="00D33F17" w:rsidRDefault="00D33F17">
      <w:pPr>
        <w:pBdr>
          <w:top w:val="nil"/>
          <w:left w:val="nil"/>
          <w:bottom w:val="nil"/>
          <w:right w:val="nil"/>
          <w:between w:val="nil"/>
        </w:pBdr>
        <w:shd w:val="clear" w:color="auto" w:fill="FFFFFF"/>
        <w:rPr>
          <w:color w:val="000000"/>
          <w:sz w:val="24"/>
          <w:szCs w:val="24"/>
        </w:rPr>
      </w:pPr>
    </w:p>
    <w:tbl>
      <w:tblPr>
        <w:tblStyle w:val="affffb"/>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realizaron las capacitaciones del PIC 2024 orientadas al autocuidado y la promoción de prácticas sostenibles para el bienestar de los Empleados Públicos, Trabajadores Oficiales y Contratistas. Asimismo, se incluyó una capacitación adicional sobre la actualización de la norma ISO 9001:2015 en el componente de Cambio Climático (8 de diciembre de 2024).</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En cumplimiento del Plan Estratégico 2024–2028, se avanzó en la contratación de una empresa certificada para la gestión integral de residuos sólidos generados por </w:t>
      </w:r>
      <w:r>
        <w:rPr>
          <w:rFonts w:ascii="Century Gothic" w:eastAsia="Century Gothic" w:hAnsi="Century Gothic" w:cs="Century Gothic"/>
          <w:color w:val="002060"/>
          <w:sz w:val="22"/>
          <w:szCs w:val="22"/>
        </w:rPr>
        <w:lastRenderedPageBreak/>
        <w:t>la Lotería de Cundinamarca. Tras evaluar experiencia y oferta, se seleccionó a la empresa Geoecológicos, encontrándose el proceso en gestión contractual.</w:t>
      </w:r>
    </w:p>
    <w:p w:rsidR="00D33F17" w:rsidRDefault="00D33F17">
      <w:pPr>
        <w:pBdr>
          <w:top w:val="nil"/>
          <w:left w:val="nil"/>
          <w:bottom w:val="nil"/>
          <w:right w:val="nil"/>
          <w:between w:val="nil"/>
        </w:pBdr>
        <w:shd w:val="clear" w:color="auto" w:fill="FFFFFF"/>
        <w:jc w:val="both"/>
        <w:rPr>
          <w:color w:val="00000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Aplicar planes y programas en la empresa para la gestión y seguridad del talento humano.</w:t>
      </w:r>
    </w:p>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Mejorar las condiciones de trabajo de los colaboradores de la entidad en infraestructura y clima laboral.</w:t>
      </w:r>
    </w:p>
    <w:p w:rsidR="00D33F17" w:rsidRDefault="00D33F17">
      <w:pPr>
        <w:pBdr>
          <w:top w:val="nil"/>
          <w:left w:val="nil"/>
          <w:bottom w:val="nil"/>
          <w:right w:val="nil"/>
          <w:between w:val="nil"/>
        </w:pBdr>
        <w:shd w:val="clear" w:color="auto" w:fill="FFFFFF"/>
        <w:rPr>
          <w:color w:val="000000"/>
          <w:sz w:val="24"/>
          <w:szCs w:val="24"/>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Desarrollar 1 Plan Institucional de Gestión Ambiental PIGA.</w:t>
      </w:r>
    </w:p>
    <w:p w:rsidR="00D33F17" w:rsidRDefault="00D33F17">
      <w:pPr>
        <w:pBdr>
          <w:top w:val="nil"/>
          <w:left w:val="nil"/>
          <w:bottom w:val="nil"/>
          <w:right w:val="nil"/>
          <w:between w:val="nil"/>
        </w:pBdr>
        <w:shd w:val="clear" w:color="auto" w:fill="FFFFFF"/>
        <w:rPr>
          <w:color w:val="000000"/>
          <w:sz w:val="24"/>
          <w:szCs w:val="24"/>
        </w:rPr>
      </w:pPr>
    </w:p>
    <w:tbl>
      <w:tblPr>
        <w:tblStyle w:val="affffc"/>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50%</w:t>
      </w:r>
    </w:p>
    <w:p w:rsidR="00D33F17" w:rsidRDefault="00080EDA">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color w:val="000000"/>
          <w:sz w:val="24"/>
          <w:szCs w:val="24"/>
        </w:rPr>
        <w:t xml:space="preserve"> </w:t>
      </w:r>
      <w:r>
        <w:rPr>
          <w:rFonts w:ascii="Century Gothic" w:eastAsia="Century Gothic" w:hAnsi="Century Gothic" w:cs="Century Gothic"/>
          <w:color w:val="002060"/>
          <w:sz w:val="22"/>
          <w:szCs w:val="22"/>
        </w:rPr>
        <w:t>Se ha realizado la adecuada destrucción y disposición final de residuos y sobrantes generados por su operación, mediante una alianza con una empresa autorizada que garantiza procesos ambientalmente responsables y alineados con los lineamientos de economía circular. De manera complementaria, la entidad promueve su política de Cero Papel a través de acciones de sensibilización, fomentando el ahorro de recursos y el mantenimiento preventivo de las instalaciones.</w:t>
      </w:r>
    </w:p>
    <w:p w:rsidR="00D33F17" w:rsidRDefault="00080EDA">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En cumplimiento del Plan Estratégico 2024–2028, se avanzó en la contratación de una empresa certificada para la gestión integral de residuos sólidos aprovechables y no aprovechables, desde su recolección hasta su disposición final. Tras el análisis de experiencia y oferta, se seleccionó a la empresa Geoecológicos, encontrándose el proceso en etapa contractual.</w:t>
      </w:r>
    </w:p>
    <w:p w:rsidR="00D33F17" w:rsidRDefault="00D33F17">
      <w:pPr>
        <w:pBdr>
          <w:top w:val="nil"/>
          <w:left w:val="nil"/>
          <w:bottom w:val="nil"/>
          <w:right w:val="nil"/>
          <w:between w:val="nil"/>
        </w:pBdr>
        <w:shd w:val="clear" w:color="auto" w:fill="FFFFFF"/>
        <w:jc w:val="both"/>
        <w:rPr>
          <w:rFonts w:ascii="Arial" w:eastAsia="Arial" w:hAnsi="Arial" w:cs="Arial"/>
          <w:b/>
          <w:bCs/>
          <w:color w:val="000000"/>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080EDA">
      <w:pPr>
        <w:rPr>
          <w:rFonts w:ascii="Arial" w:eastAsia="Arial" w:hAnsi="Arial" w:cs="Arial"/>
          <w:b/>
          <w:bCs/>
          <w:sz w:val="22"/>
          <w:szCs w:val="22"/>
        </w:rPr>
      </w:pPr>
      <w:r>
        <w:rPr>
          <w:noProof/>
        </w:rPr>
        <w:drawing>
          <wp:anchor distT="0" distB="0" distL="0" distR="0" simplePos="0" relativeHeight="251664384" behindDoc="1" locked="0" layoutInCell="1" hidden="0" allowOverlap="1">
            <wp:simplePos x="0" y="0"/>
            <wp:positionH relativeFrom="column">
              <wp:posOffset>-1219138</wp:posOffset>
            </wp:positionH>
            <wp:positionV relativeFrom="paragraph">
              <wp:posOffset>-758337</wp:posOffset>
            </wp:positionV>
            <wp:extent cx="7825105" cy="10216515"/>
            <wp:effectExtent l="0" t="0" r="0" b="0"/>
            <wp:wrapNone/>
            <wp:docPr id="2048110474"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14"/>
                    <a:srcRect/>
                    <a:stretch>
                      <a:fillRect/>
                    </a:stretch>
                  </pic:blipFill>
                  <pic:spPr>
                    <a:xfrm>
                      <a:off x="0" y="0"/>
                      <a:ext cx="7825105" cy="10216515"/>
                    </a:xfrm>
                    <a:prstGeom prst="rect">
                      <a:avLst/>
                    </a:prstGeom>
                    <a:ln/>
                  </pic:spPr>
                </pic:pic>
              </a:graphicData>
            </a:graphic>
          </wp:anchor>
        </w:drawing>
      </w: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sz w:val="22"/>
          <w:szCs w:val="22"/>
        </w:rPr>
      </w:pPr>
    </w:p>
    <w:p w:rsidR="00D33F17" w:rsidRDefault="00D33F17">
      <w:pPr>
        <w:rPr>
          <w:rFonts w:ascii="Arial" w:eastAsia="Arial" w:hAnsi="Arial" w:cs="Arial"/>
          <w:b/>
          <w:bCs/>
          <w:color w:val="4F81BD"/>
          <w:sz w:val="22"/>
          <w:szCs w:val="22"/>
        </w:rPr>
      </w:pPr>
    </w:p>
    <w:p w:rsidR="00D33F17" w:rsidRDefault="00D33F17">
      <w:pPr>
        <w:rPr>
          <w:rFonts w:ascii="Arial" w:eastAsia="Arial" w:hAnsi="Arial" w:cs="Arial"/>
          <w:b/>
          <w:bCs/>
          <w:color w:val="4F81BD"/>
          <w:sz w:val="22"/>
          <w:szCs w:val="22"/>
        </w:rPr>
      </w:pPr>
    </w:p>
    <w:p w:rsidR="00D33F17" w:rsidRDefault="00D33F17">
      <w:pPr>
        <w:tabs>
          <w:tab w:val="left" w:pos="5008"/>
        </w:tabs>
        <w:spacing w:line="276" w:lineRule="auto"/>
        <w:jc w:val="both"/>
        <w:rPr>
          <w:rFonts w:ascii="Arial" w:eastAsia="Arial" w:hAnsi="Arial" w:cs="Arial"/>
          <w:b/>
          <w:bCs/>
          <w:color w:val="4F81BD"/>
          <w:sz w:val="22"/>
          <w:szCs w:val="22"/>
        </w:rPr>
      </w:pPr>
    </w:p>
    <w:p w:rsidR="00D33F17" w:rsidRDefault="00D33F17">
      <w:pPr>
        <w:tabs>
          <w:tab w:val="left" w:pos="5008"/>
        </w:tabs>
        <w:spacing w:line="276" w:lineRule="auto"/>
        <w:jc w:val="both"/>
        <w:rPr>
          <w:rFonts w:ascii="Century Gothic" w:eastAsia="Century Gothic" w:hAnsi="Century Gothic" w:cs="Century Gothic"/>
          <w:color w:val="002060"/>
          <w:sz w:val="22"/>
          <w:szCs w:val="22"/>
        </w:rPr>
      </w:pPr>
    </w:p>
    <w:p w:rsidR="00D33F17" w:rsidRDefault="00080EDA">
      <w:pPr>
        <w:tabs>
          <w:tab w:val="left" w:pos="5008"/>
        </w:tabs>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FONDECUN tiene como reto principal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 De acuerdo a lo anterior,  se ha propuesto modernizar su estructura operativa y de gestión mediante la implementación de sistemas integrados y evaluaciones continuas que le permitan alinear su operación con el Modelo Integrado de Planeación y Gestión (MIPG), mejorar sus procesos tecnológicos y fortalecer la relación con sus clientes.</w:t>
      </w:r>
    </w:p>
    <w:p w:rsidR="00D33F17" w:rsidRDefault="00080EDA">
      <w:pPr>
        <w:shd w:val="clear" w:color="auto" w:fill="FFFFFF"/>
        <w:spacing w:before="240" w:after="240"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FONDECUN se ha trazado los siguiente reto para el cuatrienio:</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 propósito de FONDECUN va encaminado a desarrollar su objeto como empresa</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w:t>
      </w:r>
      <w:r>
        <w:rPr>
          <w:rFonts w:ascii="Century Gothic" w:eastAsia="Century Gothic" w:hAnsi="Century Gothic" w:cs="Century Gothic"/>
          <w:color w:val="002060"/>
          <w:sz w:val="22"/>
          <w:szCs w:val="22"/>
        </w:rPr>
        <w:lastRenderedPageBreak/>
        <w:t>de esa manera al desarrollo socioeconómico del Departamento de Cundinamarca y del país.</w:t>
      </w:r>
    </w:p>
    <w:p w:rsidR="00D33F17" w:rsidRDefault="00D33F17">
      <w:pPr>
        <w:pBdr>
          <w:top w:val="nil"/>
          <w:left w:val="nil"/>
          <w:bottom w:val="nil"/>
          <w:right w:val="nil"/>
          <w:between w:val="nil"/>
        </w:pBdr>
        <w:shd w:val="clear" w:color="auto" w:fill="FFFFFF"/>
        <w:jc w:val="both"/>
        <w:rPr>
          <w:rFonts w:ascii="Century Gothic" w:eastAsia="Century Gothic" w:hAnsi="Century Gothic" w:cs="Century Gothic"/>
          <w:color w:val="002060"/>
          <w:sz w:val="22"/>
          <w:szCs w:val="22"/>
        </w:rPr>
      </w:pPr>
    </w:p>
    <w:tbl>
      <w:tblPr>
        <w:tblStyle w:val="affffd"/>
        <w:tblW w:w="8354" w:type="dxa"/>
        <w:jc w:val="center"/>
        <w:tblInd w:w="0" w:type="dxa"/>
        <w:tblLayout w:type="fixed"/>
        <w:tblLook w:val="0400" w:firstRow="0" w:lastRow="0" w:firstColumn="0" w:lastColumn="0" w:noHBand="0" w:noVBand="1"/>
      </w:tblPr>
      <w:tblGrid>
        <w:gridCol w:w="2825"/>
        <w:gridCol w:w="3119"/>
        <w:gridCol w:w="2410"/>
      </w:tblGrid>
      <w:tr w:rsidR="00D33F17">
        <w:trPr>
          <w:trHeight w:val="460"/>
          <w:jc w:val="center"/>
        </w:trPr>
        <w:tc>
          <w:tcPr>
            <w:tcW w:w="835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t>Empresas Públicas de Cundinamarca S.A ESP</w:t>
            </w:r>
          </w:p>
        </w:tc>
      </w:tr>
      <w:tr w:rsidR="00D33F17">
        <w:trPr>
          <w:trHeight w:val="501"/>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trPr>
          <w:trHeight w:val="89"/>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36"/>
                <w:szCs w:val="36"/>
              </w:rPr>
            </w:pPr>
            <w:r>
              <w:rPr>
                <w:rFonts w:ascii="Century Gothic" w:eastAsia="Century Gothic" w:hAnsi="Century Gothic" w:cs="Century Gothic"/>
                <w:b/>
                <w:bCs/>
                <w:color w:val="002060"/>
                <w:sz w:val="26"/>
                <w:szCs w:val="26"/>
              </w:rPr>
              <w:t>11</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11</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2060"/>
                <w:sz w:val="26"/>
                <w:szCs w:val="26"/>
              </w:rPr>
            </w:pPr>
            <w:r>
              <w:rPr>
                <w:rFonts w:ascii="Century Gothic" w:eastAsia="Century Gothic" w:hAnsi="Century Gothic" w:cs="Century Gothic"/>
                <w:b/>
                <w:bCs/>
                <w:color w:val="002060"/>
                <w:sz w:val="26"/>
                <w:szCs w:val="26"/>
              </w:rPr>
              <w:t>0</w:t>
            </w:r>
          </w:p>
        </w:tc>
      </w:tr>
    </w:tbl>
    <w:p w:rsidR="00D33F17" w:rsidRDefault="00D33F17">
      <w:pPr>
        <w:tabs>
          <w:tab w:val="left" w:pos="5008"/>
        </w:tabs>
        <w:spacing w:line="276" w:lineRule="auto"/>
        <w:jc w:val="both"/>
        <w:rPr>
          <w:rFonts w:ascii="Century Gothic" w:eastAsia="Century Gothic" w:hAnsi="Century Gothic" w:cs="Century Gothic"/>
          <w:b/>
          <w:bCs/>
          <w:color w:val="002060"/>
          <w:sz w:val="22"/>
          <w:szCs w:val="22"/>
        </w:rPr>
      </w:pPr>
    </w:p>
    <w:p w:rsidR="00D33F17" w:rsidRDefault="00D33F17">
      <w:pPr>
        <w:tabs>
          <w:tab w:val="left" w:pos="5008"/>
        </w:tabs>
        <w:spacing w:line="276" w:lineRule="auto"/>
        <w:jc w:val="center"/>
        <w:rPr>
          <w:rFonts w:ascii="Century Gothic" w:eastAsia="Century Gothic" w:hAnsi="Century Gothic" w:cs="Century Gothic"/>
          <w:b/>
          <w:bCs/>
          <w:color w:val="00B0F0"/>
          <w:sz w:val="28"/>
          <w:szCs w:val="28"/>
        </w:rPr>
      </w:pPr>
    </w:p>
    <w:p w:rsidR="00D33F17" w:rsidRDefault="00080EDA">
      <w:pPr>
        <w:tabs>
          <w:tab w:val="left" w:pos="5008"/>
        </w:tabs>
        <w:spacing w:line="276" w:lineRule="auto"/>
        <w:jc w:val="center"/>
        <w:rPr>
          <w:rFonts w:ascii="Century Gothic" w:eastAsia="Century Gothic" w:hAnsi="Century Gothic" w:cs="Century Gothic"/>
          <w:b/>
          <w:bCs/>
          <w:color w:val="00B0F0"/>
          <w:sz w:val="28"/>
          <w:szCs w:val="28"/>
        </w:rPr>
      </w:pPr>
      <w:r>
        <w:rPr>
          <w:rFonts w:ascii="Century Gothic" w:eastAsia="Century Gothic" w:hAnsi="Century Gothic" w:cs="Century Gothic"/>
          <w:b/>
          <w:bCs/>
          <w:color w:val="00B0F0"/>
          <w:sz w:val="28"/>
          <w:szCs w:val="28"/>
        </w:rPr>
        <w:t>ESTRATEGIAS: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administración de talento humano de la empresa</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 </w:t>
      </w:r>
      <w:r>
        <w:rPr>
          <w:rFonts w:ascii="Century Gothic" w:eastAsia="Century Gothic" w:hAnsi="Century Gothic" w:cs="Century Gothic"/>
          <w:color w:val="002060"/>
          <w:sz w:val="22"/>
          <w:szCs w:val="22"/>
        </w:rPr>
        <w:t>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 xml:space="preserve">Mejorar durante el cuatrienio la administración del talento humano mediante el desarrollo de competencias laborales. </w:t>
      </w:r>
    </w:p>
    <w:tbl>
      <w:tblPr>
        <w:tblStyle w:val="affffe"/>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0,3</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5"/>
        </w:num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20%</w:t>
      </w:r>
      <w:r>
        <w:rPr>
          <w:rFonts w:ascii="Century Gothic" w:eastAsia="Century Gothic" w:hAnsi="Century Gothic" w:cs="Century Gothic"/>
          <w:color w:val="002060"/>
          <w:sz w:val="22"/>
          <w:szCs w:val="22"/>
        </w:rPr>
        <w:tab/>
      </w:r>
    </w:p>
    <w:p w:rsidR="00D33F17" w:rsidRDefault="00080EDA">
      <w:pPr>
        <w:numPr>
          <w:ilvl w:val="0"/>
          <w:numId w:val="5"/>
        </w:num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0,3</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¿Qué se ha hecho?: </w:t>
      </w:r>
      <w:r>
        <w:rPr>
          <w:rFonts w:ascii="Century Gothic" w:eastAsia="Century Gothic" w:hAnsi="Century Gothic" w:cs="Century Gothic"/>
          <w:color w:val="002060"/>
          <w:sz w:val="22"/>
          <w:szCs w:val="22"/>
        </w:rPr>
        <w:t>Se incluyó en el Plan Estratégico de Talento Humano el estudio de cargas de trabajo, aprobado inicialmente mediante el acta N° 1 del Comité. Para su implementación, se elaboró y socializó la propuesta de ejecución ante el Comité, obteniendo su aprobación en la sesión 2 con el acta N° 2. Finalmente, se elaboró el cronograma para la prueba piloto del estudio.</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Contribuir a la implementación del modelo integrado de gestión y planeación MIPG</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 </w:t>
      </w:r>
      <w:r>
        <w:rPr>
          <w:rFonts w:ascii="Century Gothic" w:eastAsia="Century Gothic" w:hAnsi="Century Gothic" w:cs="Century Gothic"/>
          <w:color w:val="002060"/>
          <w:sz w:val="22"/>
          <w:szCs w:val="22"/>
        </w:rPr>
        <w:t>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Contribuir a la implementación del modelo integrado de gestión y planeación MIPG y la mejora del índice de desempeño institucional con relación a las vigencias anteriores, mediante la implementación de los planes institucionales de talento humano</w:t>
      </w:r>
      <w:r>
        <w:rPr>
          <w:rFonts w:ascii="Century Gothic" w:eastAsia="Century Gothic" w:hAnsi="Century Gothic" w:cs="Century Gothic"/>
          <w:b/>
          <w:bCs/>
          <w:color w:val="002060"/>
          <w:sz w:val="22"/>
          <w:szCs w:val="22"/>
        </w:rPr>
        <w:t xml:space="preserve">. </w:t>
      </w:r>
    </w:p>
    <w:tbl>
      <w:tblPr>
        <w:tblStyle w:val="afffff"/>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38%</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EE0000"/>
          <w:sz w:val="22"/>
          <w:szCs w:val="22"/>
        </w:rPr>
      </w:pPr>
    </w:p>
    <w:p w:rsidR="00D33F17" w:rsidRDefault="00080EDA">
      <w:pPr>
        <w:numPr>
          <w:ilvl w:val="0"/>
          <w:numId w:val="5"/>
        </w:num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69%</w:t>
      </w:r>
      <w:r>
        <w:rPr>
          <w:rFonts w:ascii="Century Gothic" w:eastAsia="Century Gothic" w:hAnsi="Century Gothic" w:cs="Century Gothic"/>
          <w:b/>
          <w:bCs/>
          <w:color w:val="002060"/>
          <w:sz w:val="22"/>
          <w:szCs w:val="22"/>
        </w:rPr>
        <w:tab/>
      </w:r>
    </w:p>
    <w:p w:rsidR="00D33F17" w:rsidRDefault="00080EDA">
      <w:pPr>
        <w:numPr>
          <w:ilvl w:val="0"/>
          <w:numId w:val="5"/>
        </w:num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34,4</w:t>
      </w: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¿Qué se ha hecho?: </w:t>
      </w:r>
      <w:r>
        <w:rPr>
          <w:rFonts w:ascii="Century Gothic" w:eastAsia="Century Gothic" w:hAnsi="Century Gothic" w:cs="Century Gothic"/>
          <w:color w:val="002060"/>
          <w:sz w:val="22"/>
          <w:szCs w:val="22"/>
        </w:rPr>
        <w:t xml:space="preserve"> Se implementaron los planes estratégicos de talento humano con altos porcentajes de cumplimiento: bienestar (88,89%), código de integridad (96,80%), capacitación (96%) y SST (96,80%). Sin embargo, la propuesta de estos planes (incluyendo el de efectividad en el trabajo) fue presentada y aprobada por el Comité el 31 de enero mediante Acta N.º 1. A corte del primer semestre, su implementación presenta avances parciales: bienestar (40%), capacitación (22%), SST (45%) y código de integridad (44%), lo que refleja un cumplimiento promedio general del 38%.</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Contribuir a la implementación del modelo integrado de gestión y planeación MIPG</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w:t>
      </w:r>
      <w:r>
        <w:rPr>
          <w:rFonts w:ascii="Century Gothic" w:eastAsia="Century Gothic" w:hAnsi="Century Gothic" w:cs="Century Gothic"/>
          <w:color w:val="002060"/>
          <w:sz w:val="22"/>
          <w:szCs w:val="22"/>
        </w:rPr>
        <w:lastRenderedPageBreak/>
        <w:t>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Contribuir a la implementación del modelo integrado de gestión y planeación MIPG y la mejora del índice de desempeño institucional con relación a las vigencias anteriores, mediante la implementación de los planes institucionales de gestión tecnológica</w:t>
      </w:r>
      <w:r>
        <w:rPr>
          <w:rFonts w:ascii="Century Gothic" w:eastAsia="Century Gothic" w:hAnsi="Century Gothic" w:cs="Century Gothic"/>
          <w:b/>
          <w:bCs/>
          <w:color w:val="002060"/>
          <w:sz w:val="22"/>
          <w:szCs w:val="22"/>
        </w:rPr>
        <w:t xml:space="preserve">. </w:t>
      </w:r>
    </w:p>
    <w:tbl>
      <w:tblPr>
        <w:tblStyle w:val="afffff0"/>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EE0000"/>
          <w:sz w:val="22"/>
          <w:szCs w:val="22"/>
        </w:rPr>
      </w:pPr>
    </w:p>
    <w:p w:rsidR="00D33F17" w:rsidRDefault="00080EDA">
      <w:pPr>
        <w:numPr>
          <w:ilvl w:val="0"/>
          <w:numId w:val="8"/>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 75%</w:t>
      </w:r>
    </w:p>
    <w:p w:rsidR="00D33F17" w:rsidRDefault="00080EDA">
      <w:pPr>
        <w:numPr>
          <w:ilvl w:val="0"/>
          <w:numId w:val="8"/>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37,5</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hecho?:</w:t>
      </w:r>
      <w:r>
        <w:rPr>
          <w:rFonts w:ascii="Century Gothic" w:eastAsia="Century Gothic" w:hAnsi="Century Gothic" w:cs="Century Gothic"/>
          <w:color w:val="002060"/>
          <w:sz w:val="22"/>
          <w:szCs w:val="22"/>
        </w:rPr>
        <w:t> El  Plan Estratégico de Tecnología de la Información logró un cumplimiento del 100% con sus 11 actividades. El Plan de Tratamiento de Riesgos alcanzó un 95% de cumplimiento en seis actividades, y el Plan de Seguridad y Privacidad un 85% en cinco actividades. Estos planes institucionales de gestión tecnológica fueron actualizados, aprobados por el Comité (Acta N.º 1 del 31 de enero) y publicados. En su ejecución, el Plan Estratégico de TI presenta un avance del 50% en sus cinco actividades, el Plan de Tratamiento de Riesgos un 40% y el Plan de Seguridad y Privacidad un 48%.</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Contribuir a la implementación del modelo integrado de gestión y planeación MIPG</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 xml:space="preserve">Contribuir a la implementación del modelo integrado de gestión y planeación MIPG y la mejora del índice de desempeño institucional con relación a las vigencias anteriores, mediante la implementación de los planes institucionales de gestión tecnológica. </w:t>
      </w:r>
    </w:p>
    <w:tbl>
      <w:tblPr>
        <w:tblStyle w:val="afffff1"/>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75%</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25</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Tras la aprobación del PINAR (Acta No. 4), se ejecutaron actividades clave: se actualizó la TRD recibiendo concepto técnico del Consejo de Archivos, se aprobó el PGD (Acta 7), se actualizó el inventario del archivo central, se formuló y aprobó el MOREQ (Acta 4) y el SIC (Acta 7), y se realizaron capacitaciones en gestión documental. Sin embargo, la  implementación continuó con el ajuste de la TRD en mesas de trabajo con el Consejo de Archivos, la ejecución del PGD (12% de avance), el mantenimiento del inventario completo del archivo central, la fase precontractual para el SGDEA derivado del MOREQ, la implementación inicial del SIC con acciones de conservación y control ambiental, y el desarrollo de nuevas capacitaciones sobre la política de gestión documental, PQRSD y responsabilidades de los servidores públicos.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Contribuir a la implementación del modelo integrado de gestión y planeación MIPG</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Contribuir a la implementación del modelo integrado de gestión y planeación MIPG y la mejora del índice de desempeño institucional con relación a las vigencias anteriores, mediante la implementación de los planes de mejoramiento de MIPG.</w:t>
      </w:r>
    </w:p>
    <w:tbl>
      <w:tblPr>
        <w:tblStyle w:val="afffff2"/>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0,75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75%</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lastRenderedPageBreak/>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75%</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25</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Con base en el acta No. 7 del 30/12/2024, el Comité Institucional de Gestión y Desempeño aprobó el Plan de Mejoramiento del MIPG, formulado a partir de los resultados del FURAG 2024 y autodiagnósticos internos. El plan incluyó tres seguimientos programados, de los cuales ya se han realizado y documentado los correspondientes a los cortes de marzo y junio, verificando los avances en la implementación de las acciones definidas.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Dar cumplimiento a las normas internacionales de información financiera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Actualizar las políticas contables, garantizando el cumplimiento de las normas internacionales de información financiera (NIIF).</w:t>
      </w:r>
    </w:p>
    <w:tbl>
      <w:tblPr>
        <w:tblStyle w:val="afffff3"/>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17</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17</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100%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17</w:t>
      </w:r>
    </w:p>
    <w:p w:rsidR="00D33F17" w:rsidRDefault="00080EDA">
      <w:pPr>
        <w:pBdr>
          <w:top w:val="nil"/>
          <w:left w:val="nil"/>
          <w:bottom w:val="nil"/>
          <w:right w:val="nil"/>
          <w:between w:val="nil"/>
        </w:pBdr>
        <w:shd w:val="clear" w:color="auto" w:fill="FFFFFF"/>
        <w:spacing w:before="240" w:after="240"/>
        <w:jc w:val="both"/>
        <w:rPr>
          <w:rFonts w:ascii="Quattrocento Sans" w:eastAsia="Quattrocento Sans" w:hAnsi="Quattrocento Sans" w:cs="Quattrocento Sans"/>
          <w:color w:val="0F1115"/>
          <w:sz w:val="24"/>
          <w:szCs w:val="24"/>
          <w:highlight w:val="white"/>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llevó a cabo la actualización de las políticas contables, las cuales fueron formalmente adoptadas mediante la Resolución No. 54 del 25 de octubre de ese año.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Implementar un sistema de información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w:t>
      </w:r>
      <w:r>
        <w:rPr>
          <w:rFonts w:ascii="Century Gothic" w:eastAsia="Century Gothic" w:hAnsi="Century Gothic" w:cs="Century Gothic"/>
          <w:color w:val="002060"/>
          <w:sz w:val="22"/>
          <w:szCs w:val="22"/>
        </w:rPr>
        <w:lastRenderedPageBreak/>
        <w:t>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Fortalecer la infraestructura tecnológica de la entidad mediante la implementación de un sistema de gestión documental. </w:t>
      </w:r>
    </w:p>
    <w:tbl>
      <w:tblPr>
        <w:tblStyle w:val="afffff4"/>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bookmarkStart w:id="20" w:name="_heading=h.tue6cb8z31xm" w:colFirst="0" w:colLast="0"/>
            <w:bookmarkEnd w:id="20"/>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0,12</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60%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60%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12</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El proyecto del Sistema de Gestión Documental Electrónico de Archivo (SGDEA) avanzó significativamente en su fase precontractual, completando la estructuración de la necesidad, la cotización con nueve oferentes y el análisis técnico de las propuestas. Como resultado, se seleccionó la solución ORFEO para una implementación en tres fases. Se elaboraron y ajustaron todos los estudios previos, anexos técnicos y documentos contractuales, atendiendo observaciones de las áreas administrativa y jurídica, dejando lista la documentación para la publicación del proceso de selección.</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Implementar un sistema de información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Fortalecer la infraestructura tecnológica de la entidad mediante la implementación de un sistema de gestión financiera.</w:t>
      </w:r>
    </w:p>
    <w:tbl>
      <w:tblPr>
        <w:tblStyle w:val="afffff5"/>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0,2</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0,08</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40%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8</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El proyecto del Sistema Financiero y Administrativo (ERP) avanzó en su fase precontractual, realizando un análisis de mercado y demostraciones con proveedores para definir necesidades y documentación técnica. El comité estructurador gestionó la cotización en SECOP II, donde las cuatro ofertas recibidas excedieron el presupuesto, lo que condujo a una ampliación del análisis de mercado y ajustes al cronograma. Actualmente, el proyecto se encuentra en la etapa final de estructuración de la documentación, incorporando los hallazgos del estudio ampliado para la futura selección.</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Implementar un sistema de información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Fortalecer la gestión integral de los proyectos a través de la implementación de SICOF. </w:t>
      </w:r>
    </w:p>
    <w:tbl>
      <w:tblPr>
        <w:tblStyle w:val="afffff6"/>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bookmarkStart w:id="21" w:name="_heading=h.8sarotisqj" w:colFirst="0" w:colLast="0"/>
            <w:bookmarkEnd w:id="21"/>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0,05</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0,75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0,35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47%</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50%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40</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xml:space="preserve"> Se realizó el diagnóstico de requerimientos para fortalecer la gestión de contratos, desarrollándose el modelo de datos y la primera versión del Sistema de Información de Contratación (SICOF 2.0). Además, se avanzó con la creación de un nuevo módulo de gestión de propuestas, una ficha de control de proyectos en tiempo real y un prototipo del SICOF 3.0, mejorando los flujos y el modelo de datos. Así mismo, se ampliaron las capacidades analíticas con gráficos de avance, vinculación a metas departamentales, y módulos para cobros y contratación. Paralelamente, en el SICOF 2.0 se actualizaron dashboards, se </w:t>
      </w:r>
      <w:r>
        <w:rPr>
          <w:rFonts w:ascii="Century Gothic" w:eastAsia="Century Gothic" w:hAnsi="Century Gothic" w:cs="Century Gothic"/>
          <w:color w:val="002060"/>
          <w:sz w:val="22"/>
          <w:szCs w:val="22"/>
        </w:rPr>
        <w:lastRenderedPageBreak/>
        <w:t>incorporaron nuevos gráficos en áreas financieras y de propuestas, se diseñaron reportes personalizables y se implementó un sistema de seguimiento de PQRS, consolidando una plataforma integral para la administración de proyectos</w:t>
      </w:r>
      <w:r>
        <w:rPr>
          <w:rFonts w:ascii="Quattrocento Sans" w:eastAsia="Quattrocento Sans" w:hAnsi="Quattrocento Sans" w:cs="Quattrocento Sans"/>
          <w:color w:val="0F1115"/>
          <w:sz w:val="24"/>
          <w:szCs w:val="24"/>
          <w:highlight w:val="white"/>
        </w:rPr>
        <w:t>.</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Estructurar 10 proyectos tipo del departamento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 xml:space="preserve">Estructurar proyectos del Departamento en cualquiera de sus etapas (perfilamiento de las iniciativas, etapa de prefactibilidad y factibilidad). </w:t>
      </w:r>
    </w:p>
    <w:tbl>
      <w:tblPr>
        <w:tblStyle w:val="afffff7"/>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0,15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8%</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10%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28,75</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suscribió el contrato interadministrativo SG-CDCTI-1017 2024 (Fondecún 24-013) para la prefactibilidad técnica del proyecto inmobiliario de oficinas en la sede de la Gobernación de Cundinamarca. Al igual, se ha avanzado en la ejecución del contrato ICCU-867, cuyo objeto es la gerencia integral para los estudios de factibilidad de la APP "Troncal del Tequendama Nuevo Salto". Este proyecto se encuentra en fase de estructuración técnica; se culminó el estudio de mercado y se está en proceso de evaluar ofertas para seleccionar al estructurador técnico, previo a la contratación del consultor especializado.</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Realizar acciones que permitan ser la instancia técnica para la evaluación y estructuración de alianzas público privadas del departamento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w:t>
      </w:r>
      <w:r>
        <w:rPr>
          <w:rFonts w:ascii="Century Gothic" w:eastAsia="Century Gothic" w:hAnsi="Century Gothic" w:cs="Century Gothic"/>
          <w:color w:val="002060"/>
          <w:sz w:val="22"/>
          <w:szCs w:val="22"/>
        </w:rPr>
        <w:lastRenderedPageBreak/>
        <w:t>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Evaluar y estructurar una alianza público-privadas de la Gobernación de Cundinamarca.</w:t>
      </w:r>
    </w:p>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p>
    <w:tbl>
      <w:tblPr>
        <w:tblStyle w:val="afffff8"/>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bookmarkStart w:id="22" w:name="_heading=h.o03z7ussakfa" w:colFirst="0" w:colLast="0"/>
            <w:bookmarkEnd w:id="22"/>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0,4</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0,08</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20%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8</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ejecuto el contrato ICCU-867, firmado en diciembre de 2024, cuyo objetivo es estructurar una Asociación Público-Privada (APP) para el proyecto vial del corredor Chía, Mosquera, La Mesa y Girardot. El contrato, con un plazo de 24 meses, abarca una estructuración integral que incluye debida diligencia técnica, legal, ambiental y social, estudios de demanda, ingeniería, análisis de riesgos y viabilidad. Actualmente, con un avance estimado del 20%, se han completado actividades iniciales en las áreas técnicas y de debida diligencia conforme a los entregables previstos.</w:t>
      </w:r>
    </w:p>
    <w:p w:rsidR="00D33F17" w:rsidRDefault="00080EDA">
      <w:pPr>
        <w:pBdr>
          <w:top w:val="nil"/>
          <w:left w:val="nil"/>
          <w:bottom w:val="nil"/>
          <w:right w:val="nil"/>
          <w:between w:val="nil"/>
        </w:pBdr>
        <w:shd w:val="clear" w:color="auto" w:fill="FFFFFF"/>
        <w:spacing w:before="280" w:after="28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Asegurar la estabilidad y competitividad de la empresa en la estructuración, gerencia y administración de proyectos, entre los que se destacan los siguientes: Transmilenio Soacha Fase IV, Nuevas APP de antiguos corredores concesionados del Departamento, Nueva conexión a la calera, Proyecto inmobiliario “Nuevo edificio Gobernación”, Análisis de nuevas fuentes de ingresos para la ejecución de proyectos y Sistema de transporte por cables destinado a zonas rurales.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 xml:space="preserve">Cumplir el cuatrienio la meta comercial de $39.000.000.000 (Treinta y nueve mil millones de pesos M/CTE) en cuotas de gerencia. </w:t>
      </w:r>
    </w:p>
    <w:tbl>
      <w:tblPr>
        <w:tblStyle w:val="afffff9"/>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550"/>
        <w:gridCol w:w="1559"/>
        <w:gridCol w:w="992"/>
        <w:gridCol w:w="1559"/>
        <w:gridCol w:w="1560"/>
        <w:gridCol w:w="1001"/>
      </w:tblGrid>
      <w:tr w:rsidR="00D33F17">
        <w:trPr>
          <w:tblHeader/>
          <w:jc w:val="center"/>
        </w:trPr>
        <w:tc>
          <w:tcPr>
            <w:tcW w:w="1550"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559"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992"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559"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560"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001"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550"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18"/>
                <w:szCs w:val="18"/>
              </w:rPr>
            </w:pPr>
            <w:r>
              <w:rPr>
                <w:rFonts w:ascii="Century Gothic" w:eastAsia="Century Gothic" w:hAnsi="Century Gothic" w:cs="Century Gothic"/>
                <w:color w:val="002060"/>
                <w:sz w:val="18"/>
                <w:szCs w:val="18"/>
              </w:rPr>
              <w:t>$8.190.000.000</w:t>
            </w:r>
          </w:p>
        </w:tc>
        <w:tc>
          <w:tcPr>
            <w:tcW w:w="1559" w:type="dxa"/>
            <w:vAlign w:val="center"/>
          </w:tcPr>
          <w:p w:rsidR="00D33F17" w:rsidRDefault="00080EDA">
            <w:pPr>
              <w:widowControl w:val="0"/>
              <w:jc w:val="center"/>
              <w:rPr>
                <w:rFonts w:ascii="Century Gothic" w:eastAsia="Century Gothic" w:hAnsi="Century Gothic" w:cs="Century Gothic"/>
                <w:color w:val="002060"/>
                <w:sz w:val="18"/>
                <w:szCs w:val="18"/>
              </w:rPr>
            </w:pPr>
            <w:r>
              <w:rPr>
                <w:rFonts w:ascii="Century Gothic" w:eastAsia="Century Gothic" w:hAnsi="Century Gothic" w:cs="Century Gothic"/>
                <w:color w:val="002060"/>
                <w:sz w:val="18"/>
                <w:szCs w:val="18"/>
              </w:rPr>
              <w:t>$8.190.000.000</w:t>
            </w:r>
          </w:p>
        </w:tc>
        <w:tc>
          <w:tcPr>
            <w:tcW w:w="992" w:type="dxa"/>
            <w:vAlign w:val="center"/>
          </w:tcPr>
          <w:p w:rsidR="00D33F17" w:rsidRDefault="00080EDA">
            <w:pPr>
              <w:widowControl w:val="0"/>
              <w:jc w:val="center"/>
              <w:rPr>
                <w:rFonts w:ascii="Century Gothic" w:eastAsia="Century Gothic" w:hAnsi="Century Gothic" w:cs="Century Gothic"/>
                <w:color w:val="002060"/>
                <w:sz w:val="18"/>
                <w:szCs w:val="18"/>
              </w:rPr>
            </w:pPr>
            <w:r>
              <w:rPr>
                <w:rFonts w:ascii="Century Gothic" w:eastAsia="Century Gothic" w:hAnsi="Century Gothic" w:cs="Century Gothic"/>
                <w:color w:val="002060"/>
                <w:sz w:val="18"/>
                <w:szCs w:val="18"/>
              </w:rPr>
              <w:t>100%</w:t>
            </w:r>
          </w:p>
        </w:tc>
        <w:tc>
          <w:tcPr>
            <w:tcW w:w="1559"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18"/>
                <w:szCs w:val="18"/>
              </w:rPr>
            </w:pPr>
            <w:r>
              <w:rPr>
                <w:rFonts w:ascii="Century Gothic" w:eastAsia="Century Gothic" w:hAnsi="Century Gothic" w:cs="Century Gothic"/>
                <w:color w:val="002060"/>
                <w:sz w:val="18"/>
                <w:szCs w:val="18"/>
              </w:rPr>
              <w:t>$9.750.000.000</w:t>
            </w:r>
          </w:p>
        </w:tc>
        <w:tc>
          <w:tcPr>
            <w:tcW w:w="1560"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18"/>
                <w:szCs w:val="18"/>
              </w:rPr>
            </w:pPr>
            <w:r>
              <w:rPr>
                <w:rFonts w:ascii="Century Gothic" w:eastAsia="Century Gothic" w:hAnsi="Century Gothic" w:cs="Century Gothic"/>
                <w:color w:val="002060"/>
                <w:sz w:val="18"/>
                <w:szCs w:val="18"/>
              </w:rPr>
              <w:t>$5.647.186.802</w:t>
            </w:r>
          </w:p>
        </w:tc>
        <w:tc>
          <w:tcPr>
            <w:tcW w:w="1001" w:type="dxa"/>
            <w:vAlign w:val="center"/>
          </w:tcPr>
          <w:p w:rsidR="00D33F17" w:rsidRDefault="00080EDA">
            <w:pPr>
              <w:widowControl w:val="0"/>
              <w:jc w:val="center"/>
              <w:rPr>
                <w:rFonts w:ascii="Century Gothic" w:eastAsia="Century Gothic" w:hAnsi="Century Gothic" w:cs="Century Gothic"/>
                <w:color w:val="002060"/>
                <w:sz w:val="18"/>
                <w:szCs w:val="18"/>
              </w:rPr>
            </w:pPr>
            <w:r>
              <w:rPr>
                <w:rFonts w:ascii="Century Gothic" w:eastAsia="Century Gothic" w:hAnsi="Century Gothic" w:cs="Century Gothic"/>
                <w:color w:val="002060"/>
                <w:sz w:val="18"/>
                <w:szCs w:val="18"/>
              </w:rPr>
              <w:t>58%</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35%</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35</w:t>
      </w:r>
    </w:p>
    <w:p w:rsidR="00D33F17" w:rsidRDefault="00080EDA">
      <w:pPr>
        <w:pBdr>
          <w:top w:val="nil"/>
          <w:left w:val="nil"/>
          <w:bottom w:val="nil"/>
          <w:right w:val="nil"/>
          <w:between w:val="nil"/>
        </w:pBdr>
        <w:shd w:val="clear" w:color="auto" w:fill="FFFFFF"/>
        <w:spacing w:before="240" w:after="240"/>
        <w:jc w:val="both"/>
        <w:rPr>
          <w:rFonts w:ascii="Quattrocento Sans" w:eastAsia="Quattrocento Sans" w:hAnsi="Quattrocento Sans" w:cs="Quattrocento Sans"/>
          <w:color w:val="0F1115"/>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FONDECÚN superó significativamente su meta comercial de $60.000 millones, suscribiendo 57 contratos, 20 adiciones y 3 convenios por un total de $129.256 millones, lo que representó un cumplimiento del 215,4%. A partir de estos resultados, se proyectó la meta como una cuota de gerencia acumulada de $39.000 millones para el cuatrienio, de los cuales ya se lograron $8.190 millones en 2024. Respecto a la gestión de control, en el primer semestre de 2025 se ejecutó el 50% del Plan de Auditorías, completando 5 auditorías internas, 25 de cumplimiento, 6 de seguimiento y 26 actividades de coordinación con entes de control y fortalecimiento interno, cumpliendo así con el cronograma establecido</w:t>
      </w:r>
      <w:r>
        <w:rPr>
          <w:rFonts w:ascii="Quattrocento Sans" w:eastAsia="Quattrocento Sans" w:hAnsi="Quattrocento Sans" w:cs="Quattrocento Sans"/>
          <w:color w:val="0F1115"/>
          <w:sz w:val="24"/>
          <w:szCs w:val="24"/>
          <w:highlight w:val="white"/>
        </w:rPr>
        <w:t>.</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administración del talento humano de la empresa, contribuyendo a la implementación del sistema de gestión de calidad y MECI.</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 xml:space="preserve">Contribuir durante el cuatrienio con la implementación Modelo Estándar de Control Interno MECI, mediante la implementación del programa de auditoría. </w:t>
      </w:r>
    </w:p>
    <w:tbl>
      <w:tblPr>
        <w:tblStyle w:val="afffffa"/>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0,5</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19%</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37,5</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¿Qué se ha hecho?:</w:t>
      </w:r>
      <w:r>
        <w:rPr>
          <w:rFonts w:ascii="Century Gothic" w:eastAsia="Century Gothic" w:hAnsi="Century Gothic" w:cs="Century Gothic"/>
          <w:color w:val="002060"/>
          <w:sz w:val="22"/>
          <w:szCs w:val="22"/>
        </w:rPr>
        <w:t> El Plan Anual de Auditoría priorizó la revisión de cinco dependencias principales, realizando auditorías internas de gestión en procesos clave que generaron 19 recomendaciones y 17 hallazgos. Se cumplió al 100% con las 32 auditorías de cumplimiento programadas, y se evaluó la eficacia de nueve planes de mejoramiento, cerrando seis y dejando tres abiertos para 2025. Por otro lado, la implementación del plan anual ha avanzado un 50%, completándose en su totalidad las actividades previstas para ese período: 5 auditorías internas basadas en riesgos, 25 auditorías de cumplimiento, 6 de seguimiento, 18 actividades de coordinación con entes externos y 8 acciones de fortalecimiento, cumpliendo así con el cronograma establecido.</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Consolidar un sistema de gestión de calidad mediante el desarrollo de procesos de mejora continua.</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Actividad:</w:t>
      </w:r>
      <w:r>
        <w:rPr>
          <w:rFonts w:ascii="Century Gothic" w:eastAsia="Century Gothic" w:hAnsi="Century Gothic" w:cs="Century Gothic"/>
          <w:color w:val="002060"/>
          <w:sz w:val="22"/>
          <w:szCs w:val="22"/>
        </w:rPr>
        <w:t xml:space="preserve"> Reformular el Sistema de Gestión de Calidad mediante la reingeniería de procesos.</w:t>
      </w:r>
    </w:p>
    <w:tbl>
      <w:tblPr>
        <w:tblStyle w:val="afffffb"/>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60%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5%</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23,07</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En el marco del periodo 2020-2025, específicamente durante 2025, FONDECÚN avanzó en la actualización de su Sistema de Gestión de Calidad mediante una reingeniería integral de procesos. Este trabajo incluyó la revisión y ajuste del mapa de procesos institucional para alinearlo a las necesidades estratégicas, y se priorizó la actualización del proceso misional de estructuración y gerencia integral de proyectos, así como de los procesos de apoyo (gestión financiera, tecnológica, documental, control interno y jurídica), logrando la actualización de sus caracterizaciones y procedimientos con la participación de los líderes y equipos involucrados.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lastRenderedPageBreak/>
        <w:t xml:space="preserve">Lograr una efectiva fidelización de clientes para lograr una mayor participación en el mercado.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Actividad: </w:t>
      </w:r>
      <w:r>
        <w:rPr>
          <w:rFonts w:ascii="Century Gothic" w:eastAsia="Century Gothic" w:hAnsi="Century Gothic" w:cs="Century Gothic"/>
          <w:color w:val="002060"/>
          <w:sz w:val="22"/>
          <w:szCs w:val="22"/>
        </w:rPr>
        <w:t xml:space="preserve">Evaluar la satisfacción de los clientes e implementar planes de mejoramiento de acuerdo con los resultados. </w:t>
      </w:r>
    </w:p>
    <w:tbl>
      <w:tblPr>
        <w:tblStyle w:val="afffffc"/>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40%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13</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cumplió el objetivo con dos encuestas semestrales de satisfacción. La primera, con 10 respuestas de contratos en ejecución, reflejó altos niveles de satisfacción (62% entre muy y totalmente satisfecho). La segunda, con 14 respuestas, mostró una calificación promedio de 4.57/5. Sin embargo, debido a la baja cobertura de respuestas del año anterior, se definió realizar una única encuesta anual durante el segundo semestre, con el fin de optimizar los recursos y concentrar el análisis en una medición más focalizada de la percepción de los clientes sobre los servicios prestados durante todo el año.</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 xml:space="preserve">Contribuir en el desarrollo integral del ser humano y del entorno con responsabilidad social y empresarial </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Es propósito de FONDECUN va encaminado a desarrollar su objeto como empresa especializada en la estructuración, gerencia, administración y desarrollo de proyectos de inversión, orientada al cumplimiento de políticas y metas organizacionales, a través de procesos eficientes, efectivos y transparentes que garanticen satisfacción y generen valor público, para sus clientes, contribuyendo de esa manera al desarrollo socioeconómico del Departamento de Cundinamarca y del país.</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Actividad:</w:t>
      </w:r>
    </w:p>
    <w:tbl>
      <w:tblPr>
        <w:tblStyle w:val="afffffd"/>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lastRenderedPageBreak/>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Pr>
          <w:rFonts w:ascii="Century Gothic" w:eastAsia="Century Gothic" w:hAnsi="Century Gothic" w:cs="Century Gothic"/>
          <w:b/>
          <w:bCs/>
          <w:color w:val="002060"/>
          <w:sz w:val="22"/>
          <w:szCs w:val="22"/>
        </w:rPr>
        <w:t>4%</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34,4</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bookmarkStart w:id="23" w:name="_heading=h.ikyf6vcrpr3a" w:colFirst="0" w:colLast="0"/>
      <w:bookmarkEnd w:id="23"/>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Se implementaron los planes estratégicos de talento humano con altos niveles de cumplimiento: bienestar (88,89%), código de integridad (96,80%), capacitación (96%) y SST (96,80%). Sin embargo, la propuesta de estos planes (incluyendo el de efectividad en el trabajo) fue presentada y aprobada por el Comité el 31 de enero mediante Acta N.º 1. A corte del primer semestre, su implementación presenta avances parciales: bienestar (40%), capacitación (22%), SST (45%) y código de integridad (44%), reflejando un cumplimiento promedio general del 38% en la ejecución del Plan Estratégico de Talento Humano.</w:t>
      </w:r>
    </w:p>
    <w:p w:rsidR="00D33F17" w:rsidRDefault="00080EDA">
      <w:pPr>
        <w:pBdr>
          <w:top w:val="nil"/>
          <w:left w:val="nil"/>
          <w:bottom w:val="nil"/>
          <w:right w:val="nil"/>
          <w:between w:val="nil"/>
        </w:pBdr>
        <w:shd w:val="clear" w:color="auto" w:fill="FFFFFF"/>
        <w:spacing w:after="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Durante el periodo, el </w:t>
      </w:r>
      <w:r>
        <w:rPr>
          <w:rFonts w:ascii="Century Gothic" w:eastAsia="Century Gothic" w:hAnsi="Century Gothic" w:cs="Century Gothic"/>
          <w:b/>
          <w:bCs/>
          <w:color w:val="002060"/>
          <w:sz w:val="22"/>
          <w:szCs w:val="22"/>
        </w:rPr>
        <w:t>Fonde de Desarrollo de proyectos de Cundinamarca (FONDECUN</w:t>
      </w:r>
      <w:r>
        <w:rPr>
          <w:rFonts w:ascii="Century Gothic" w:eastAsia="Century Gothic" w:hAnsi="Century Gothic" w:cs="Century Gothic"/>
          <w:color w:val="002060"/>
          <w:sz w:val="22"/>
          <w:szCs w:val="22"/>
        </w:rPr>
        <w:t>) muestra una evolución marcada por dos ritmos distintos. Por un lado, se evidencia un período de ejecución y cumplimiento robusto en sus operaciones centrales. La empresa superó ampliamente sus metas comerciales, alcanzando más del 215% de lo planeado, y completó al 100% una serie de estrategias clave. Esto incluyó la implementación exitosa de sus planes de talento humano, auditorías internas, gestión tecnológica y documental, así como la actualización de sus políticas contables. Este alto nivel de cumplimiento refleja una gestión operativa sólida y un cierre efectivo de ciclos importantes para la organización.</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Por otro lado, se ha caracterizado por una transición hacia la estructuración y puesta en marcha de proyectos estratégicos de mayor alcance y complejidad, cuyos resultados se miden a más largo plazo. La actividad comercial continúa avanzando, con un 58% de progreso sobre una meta metodológicamente ajustada. Sin embargo, los esfuerzos se han concentrado significativamente en la fase de planeación e inicio de grandes iniciativas. Ejemplos de esto son los estudios para Asociaciones Público-Privadas (APP) de infraestructura vial, que están en etapas iniciales, y la modernización de sistemas de información (como un nuevo ERP y un sistema de gestión documental electrónico), los cuales se encuentran en procesos precontractuales. Asimismo, la implementación de los planes anuales de talento humano y calidad muestra avances parciales (entre 38% y 60% en el primer semestre), lo cual es coherente con el desarrollo progresivo de estas estrategias a lo largo del año.</w:t>
      </w:r>
    </w:p>
    <w:p w:rsidR="00D33F17" w:rsidRDefault="00D33F17">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080EDA">
      <w:pPr>
        <w:tabs>
          <w:tab w:val="left" w:pos="5008"/>
        </w:tabs>
        <w:ind w:right="660"/>
        <w:jc w:val="both"/>
        <w:rPr>
          <w:sz w:val="22"/>
          <w:szCs w:val="22"/>
        </w:rPr>
      </w:pPr>
      <w:r>
        <w:rPr>
          <w:noProof/>
        </w:rPr>
        <w:drawing>
          <wp:anchor distT="0" distB="0" distL="0" distR="0" simplePos="0" relativeHeight="251665408" behindDoc="1" locked="0" layoutInCell="1" hidden="0" allowOverlap="1">
            <wp:simplePos x="0" y="0"/>
            <wp:positionH relativeFrom="column">
              <wp:posOffset>-1041921</wp:posOffset>
            </wp:positionH>
            <wp:positionV relativeFrom="paragraph">
              <wp:posOffset>-769401</wp:posOffset>
            </wp:positionV>
            <wp:extent cx="7787640" cy="10166985"/>
            <wp:effectExtent l="0" t="0" r="0" b="0"/>
            <wp:wrapNone/>
            <wp:docPr id="2048110477"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5"/>
                    <a:srcRect/>
                    <a:stretch>
                      <a:fillRect/>
                    </a:stretch>
                  </pic:blipFill>
                  <pic:spPr>
                    <a:xfrm>
                      <a:off x="0" y="0"/>
                      <a:ext cx="7787640" cy="10166985"/>
                    </a:xfrm>
                    <a:prstGeom prst="rect">
                      <a:avLst/>
                    </a:prstGeom>
                    <a:ln/>
                  </pic:spPr>
                </pic:pic>
              </a:graphicData>
            </a:graphic>
          </wp:anchor>
        </w:drawing>
      </w: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D33F17">
      <w:pPr>
        <w:tabs>
          <w:tab w:val="left" w:pos="5008"/>
        </w:tabs>
        <w:ind w:right="660"/>
        <w:jc w:val="both"/>
        <w:rPr>
          <w:sz w:val="22"/>
          <w:szCs w:val="22"/>
        </w:rPr>
      </w:pP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La Corporación Social de Cundinamarca es un establecimiento público del orden Departamental, tiene como objeto la prestación de servicios en diferentes líneas de crédito y programas de bienestar, que realiza a través de planes y programas que fomentan la vinculación de nuevos clientes y busca el bienestar </w:t>
      </w:r>
      <w:r>
        <w:rPr>
          <w:rFonts w:ascii="Century Gothic" w:eastAsia="Century Gothic" w:hAnsi="Century Gothic" w:cs="Century Gothic"/>
          <w:color w:val="002060"/>
          <w:sz w:val="22"/>
          <w:szCs w:val="22"/>
        </w:rPr>
        <w:lastRenderedPageBreak/>
        <w:t xml:space="preserve">socioeconómico de los afiliados y beneficiarios. Durante la vigencia 2024, la Corporación Social de Cundinamarca (CSC) adelantó acciones estratégicas orientadas al fortalecimiento del bienestar y la calidad de vida de los servidores públicos afiliados al Departamento, en el marco del Plan de Desarrollo Departamental 2024–2028 “Gobernando: Más que un plan”, especialmente bajo las líneas de </w:t>
      </w:r>
      <w:r>
        <w:rPr>
          <w:rFonts w:ascii="Century Gothic" w:eastAsia="Century Gothic" w:hAnsi="Century Gothic" w:cs="Century Gothic"/>
          <w:i/>
          <w:iCs/>
          <w:color w:val="002060"/>
          <w:sz w:val="22"/>
          <w:szCs w:val="22"/>
        </w:rPr>
        <w:t>Bienestar Con-Unidad</w:t>
      </w:r>
      <w:r>
        <w:rPr>
          <w:rFonts w:ascii="Century Gothic" w:eastAsia="Century Gothic" w:hAnsi="Century Gothic" w:cs="Century Gothic"/>
          <w:color w:val="002060"/>
          <w:sz w:val="22"/>
          <w:szCs w:val="22"/>
        </w:rPr>
        <w:t xml:space="preserve"> y </w:t>
      </w:r>
      <w:r>
        <w:rPr>
          <w:rFonts w:ascii="Century Gothic" w:eastAsia="Century Gothic" w:hAnsi="Century Gothic" w:cs="Century Gothic"/>
          <w:i/>
          <w:iCs/>
          <w:color w:val="002060"/>
          <w:sz w:val="22"/>
          <w:szCs w:val="22"/>
        </w:rPr>
        <w:t>Buen Gobernar</w:t>
      </w:r>
      <w:r>
        <w:rPr>
          <w:rFonts w:ascii="Century Gothic" w:eastAsia="Century Gothic" w:hAnsi="Century Gothic" w:cs="Century Gothic"/>
          <w:color w:val="002060"/>
          <w:sz w:val="22"/>
          <w:szCs w:val="22"/>
        </w:rPr>
        <w:t>.</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presente informe expone los principales logros alcanzados durante la gestión 2024 y el avance al corte del 30 de junio de 2025, en correspondencia con los objetivos estratégicos definidos en la Ordenanza Departamental N.º 001 de 2024.</w:t>
      </w:r>
      <w:r>
        <w:rPr>
          <w:rFonts w:ascii="Century Gothic" w:eastAsia="Century Gothic" w:hAnsi="Century Gothic" w:cs="Century Gothic"/>
          <w:color w:val="002060"/>
          <w:sz w:val="22"/>
          <w:szCs w:val="22"/>
        </w:rPr>
        <w:br/>
        <w:t>La información se estructura de acuerdo con las metas institucionales trazadas, los indicadores de gestión y los entregables que evidencian la ejecución de los programas y proyectos de la entidad.</w:t>
      </w:r>
    </w:p>
    <w:p w:rsidR="00D33F17" w:rsidRDefault="00080EDA">
      <w:pPr>
        <w:shd w:val="clear" w:color="auto" w:fill="FFFFFF"/>
        <w:spacing w:before="240" w:after="240"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La Corporación social de Cundinamarca se ha trazado los siguientes Retos para el cuatrienio:</w:t>
      </w:r>
    </w:p>
    <w:p w:rsidR="00D33F17" w:rsidRDefault="00080EDA">
      <w:pPr>
        <w:numPr>
          <w:ilvl w:val="0"/>
          <w:numId w:val="11"/>
        </w:numPr>
        <w:pBdr>
          <w:top w:val="nil"/>
          <w:left w:val="nil"/>
          <w:bottom w:val="nil"/>
          <w:right w:val="nil"/>
          <w:between w:val="nil"/>
        </w:pBdr>
        <w:shd w:val="clear" w:color="auto" w:fill="FFFFFF"/>
        <w:spacing w:before="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Prestar servicios de créditos a los afiliados del Departamento de forma ágil, eficiente y oportuna en las diferentes líneas activas por la Corporación Social de Cundinamarca.</w:t>
      </w:r>
    </w:p>
    <w:p w:rsidR="00D33F17" w:rsidRDefault="00080EDA">
      <w:pPr>
        <w:numPr>
          <w:ilvl w:val="0"/>
          <w:numId w:val="11"/>
        </w:numPr>
        <w:pBdr>
          <w:top w:val="nil"/>
          <w:left w:val="nil"/>
          <w:bottom w:val="nil"/>
          <w:right w:val="nil"/>
          <w:between w:val="nil"/>
        </w:pBd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Fortalecer en la Corporación Social de Cundinamarca el Programa de Bienestar Integral para los afiliados y sus beneficiarios, con el propósito de mejorar la calidad de vida, lograr su fidelización, así como, la promoción, reconocimiento y posicionamiento de la Entidad. </w:t>
      </w:r>
    </w:p>
    <w:p w:rsidR="00D33F17" w:rsidRDefault="00080EDA">
      <w:pPr>
        <w:numPr>
          <w:ilvl w:val="0"/>
          <w:numId w:val="11"/>
        </w:numPr>
        <w:pBdr>
          <w:top w:val="nil"/>
          <w:left w:val="nil"/>
          <w:bottom w:val="nil"/>
          <w:right w:val="nil"/>
          <w:between w:val="nil"/>
        </w:pBd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Descentralización de la Corporación Social de Cundinamarca, para optimizar la atención de los afiliados en las provincias del Departamento. </w:t>
      </w:r>
    </w:p>
    <w:p w:rsidR="00D33F17" w:rsidRDefault="00080EDA">
      <w:pPr>
        <w:numPr>
          <w:ilvl w:val="0"/>
          <w:numId w:val="11"/>
        </w:numPr>
        <w:pBdr>
          <w:top w:val="nil"/>
          <w:left w:val="nil"/>
          <w:bottom w:val="nil"/>
          <w:right w:val="nil"/>
          <w:between w:val="nil"/>
        </w:pBdr>
        <w:shd w:val="clear" w:color="auto" w:fill="FFFFFF"/>
        <w:spacing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 xml:space="preserve">Disminuir el porcentaje de cartera en estado Jurídico por debajo del 16% </w:t>
      </w:r>
    </w:p>
    <w:p w:rsidR="00D33F17" w:rsidRDefault="00080EDA">
      <w:pPr>
        <w:numPr>
          <w:ilvl w:val="0"/>
          <w:numId w:val="11"/>
        </w:numPr>
        <w:pBdr>
          <w:top w:val="nil"/>
          <w:left w:val="nil"/>
          <w:bottom w:val="nil"/>
          <w:right w:val="nil"/>
          <w:between w:val="nil"/>
        </w:pBdr>
        <w:shd w:val="clear" w:color="auto" w:fill="FFFFFF"/>
        <w:spacing w:after="240" w:line="276" w:lineRule="auto"/>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Desarrollar acciones con el fin de fortalecer el área tecnológica y digital de la Entidad, para optimizar los servicios prestados, mejorando el posicionamiento institucional y generar accesibilidad al usuario</w:t>
      </w:r>
      <w:r>
        <w:rPr>
          <w:rFonts w:ascii="Arial" w:eastAsia="Arial" w:hAnsi="Arial" w:cs="Arial"/>
          <w:color w:val="000000"/>
        </w:rPr>
        <w:t xml:space="preserve">. </w:t>
      </w: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D33F17">
      <w:pPr>
        <w:pBdr>
          <w:top w:val="nil"/>
          <w:left w:val="nil"/>
          <w:bottom w:val="nil"/>
          <w:right w:val="nil"/>
          <w:between w:val="nil"/>
        </w:pBdr>
        <w:rPr>
          <w:rFonts w:ascii="Arial" w:eastAsia="Arial" w:hAnsi="Arial" w:cs="Arial"/>
          <w:color w:val="000000"/>
          <w:sz w:val="24"/>
          <w:szCs w:val="24"/>
        </w:rPr>
      </w:pPr>
    </w:p>
    <w:p w:rsidR="00D33F17" w:rsidRDefault="00080EDA">
      <w:pPr>
        <w:pBdr>
          <w:top w:val="nil"/>
          <w:left w:val="nil"/>
          <w:bottom w:val="nil"/>
          <w:right w:val="nil"/>
          <w:between w:val="nil"/>
        </w:pBdr>
        <w:ind w:left="720"/>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presente informe consolida los avances, identificados al cierre del primer semestre de 2025, con el fin de evaluar el cumplimiento de los objetivos corporativos y orientar la toma de decisiones.</w:t>
      </w:r>
    </w:p>
    <w:p w:rsidR="00D33F17" w:rsidRDefault="00D33F17">
      <w:pPr>
        <w:pBdr>
          <w:top w:val="nil"/>
          <w:left w:val="nil"/>
          <w:bottom w:val="nil"/>
          <w:right w:val="nil"/>
          <w:between w:val="nil"/>
        </w:pBdr>
        <w:ind w:left="720"/>
        <w:rPr>
          <w:rFonts w:ascii="Arial" w:eastAsia="Arial" w:hAnsi="Arial" w:cs="Arial"/>
          <w:color w:val="002060"/>
          <w:sz w:val="24"/>
          <w:szCs w:val="24"/>
        </w:rPr>
      </w:pPr>
    </w:p>
    <w:tbl>
      <w:tblPr>
        <w:tblStyle w:val="afffffe"/>
        <w:tblW w:w="8354" w:type="dxa"/>
        <w:jc w:val="center"/>
        <w:tblInd w:w="0" w:type="dxa"/>
        <w:tblLayout w:type="fixed"/>
        <w:tblLook w:val="0400" w:firstRow="0" w:lastRow="0" w:firstColumn="0" w:lastColumn="0" w:noHBand="0" w:noVBand="1"/>
      </w:tblPr>
      <w:tblGrid>
        <w:gridCol w:w="2825"/>
        <w:gridCol w:w="3119"/>
        <w:gridCol w:w="2410"/>
      </w:tblGrid>
      <w:tr w:rsidR="00D33F17">
        <w:trPr>
          <w:trHeight w:val="460"/>
          <w:jc w:val="center"/>
        </w:trPr>
        <w:tc>
          <w:tcPr>
            <w:tcW w:w="8354" w:type="dxa"/>
            <w:gridSpan w:val="3"/>
            <w:tcBorders>
              <w:top w:val="single" w:sz="8" w:space="0" w:color="FFFFFF"/>
              <w:left w:val="single" w:sz="8" w:space="0" w:color="FFFFFF"/>
              <w:bottom w:val="single" w:sz="8" w:space="0" w:color="FFFFFF"/>
              <w:right w:val="single" w:sz="8" w:space="0" w:color="FFFFFF"/>
            </w:tcBorders>
            <w:shd w:val="clear" w:color="auto" w:fill="002060"/>
          </w:tcPr>
          <w:p w:rsidR="00D33F17" w:rsidRDefault="00080EDA">
            <w:pPr>
              <w:jc w:val="center"/>
              <w:rPr>
                <w:rFonts w:ascii="Century Gothic" w:eastAsia="Century Gothic" w:hAnsi="Century Gothic" w:cs="Century Gothic"/>
                <w:b/>
                <w:bCs/>
                <w:color w:val="FFFFFF"/>
                <w:sz w:val="26"/>
                <w:szCs w:val="26"/>
              </w:rPr>
            </w:pPr>
            <w:r>
              <w:rPr>
                <w:rFonts w:ascii="Century Gothic" w:eastAsia="Century Gothic" w:hAnsi="Century Gothic" w:cs="Century Gothic"/>
                <w:b/>
                <w:bCs/>
                <w:color w:val="FFFFFF"/>
                <w:sz w:val="26"/>
                <w:szCs w:val="26"/>
              </w:rPr>
              <w:lastRenderedPageBreak/>
              <w:t>Corporación Social de Cundinamarca</w:t>
            </w:r>
          </w:p>
        </w:tc>
      </w:tr>
      <w:tr w:rsidR="00D33F17">
        <w:trPr>
          <w:trHeight w:val="501"/>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Total estrategias</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En proceso</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Default="00080EDA">
            <w:pPr>
              <w:jc w:val="center"/>
              <w:rPr>
                <w:rFonts w:ascii="Century Gothic" w:eastAsia="Century Gothic" w:hAnsi="Century Gothic" w:cs="Century Gothic"/>
                <w:b/>
                <w:bCs/>
                <w:color w:val="0070C0"/>
                <w:sz w:val="36"/>
                <w:szCs w:val="36"/>
              </w:rPr>
            </w:pPr>
            <w:r>
              <w:rPr>
                <w:rFonts w:ascii="Century Gothic" w:eastAsia="Century Gothic" w:hAnsi="Century Gothic" w:cs="Century Gothic"/>
                <w:b/>
                <w:bCs/>
                <w:color w:val="0070C0"/>
                <w:sz w:val="26"/>
                <w:szCs w:val="26"/>
              </w:rPr>
              <w:t>Sin avance</w:t>
            </w:r>
          </w:p>
          <w:p w:rsidR="00D33F17" w:rsidRDefault="00D33F17">
            <w:pPr>
              <w:jc w:val="center"/>
              <w:rPr>
                <w:rFonts w:ascii="Century Gothic" w:eastAsia="Century Gothic" w:hAnsi="Century Gothic" w:cs="Century Gothic"/>
                <w:b/>
                <w:bCs/>
                <w:color w:val="0070C0"/>
                <w:sz w:val="36"/>
                <w:szCs w:val="36"/>
              </w:rPr>
            </w:pPr>
          </w:p>
        </w:tc>
      </w:tr>
      <w:tr w:rsidR="00D33F17" w:rsidRPr="008A55A5">
        <w:trPr>
          <w:trHeight w:val="89"/>
          <w:jc w:val="center"/>
        </w:trPr>
        <w:tc>
          <w:tcPr>
            <w:tcW w:w="2825"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Pr="008A55A5" w:rsidRDefault="00080EDA">
            <w:pPr>
              <w:jc w:val="center"/>
              <w:rPr>
                <w:rFonts w:ascii="Century Gothic" w:eastAsia="Century Gothic" w:hAnsi="Century Gothic" w:cs="Century Gothic"/>
                <w:b/>
                <w:bCs/>
                <w:sz w:val="32"/>
                <w:szCs w:val="32"/>
              </w:rPr>
            </w:pPr>
            <w:r w:rsidRPr="008A55A5">
              <w:rPr>
                <w:rFonts w:ascii="Century Gothic" w:eastAsia="Century Gothic" w:hAnsi="Century Gothic" w:cs="Century Gothic"/>
                <w:b/>
                <w:bCs/>
                <w:sz w:val="32"/>
                <w:szCs w:val="32"/>
              </w:rPr>
              <w:t>5</w:t>
            </w:r>
          </w:p>
        </w:tc>
        <w:tc>
          <w:tcPr>
            <w:tcW w:w="3119"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Pr="008A55A5" w:rsidRDefault="00080EDA">
            <w:pPr>
              <w:jc w:val="center"/>
              <w:rPr>
                <w:rFonts w:ascii="Century Gothic" w:eastAsia="Century Gothic" w:hAnsi="Century Gothic" w:cs="Century Gothic"/>
                <w:b/>
                <w:bCs/>
                <w:sz w:val="32"/>
                <w:szCs w:val="32"/>
              </w:rPr>
            </w:pPr>
            <w:r w:rsidRPr="008A55A5">
              <w:rPr>
                <w:rFonts w:ascii="Century Gothic" w:eastAsia="Century Gothic" w:hAnsi="Century Gothic" w:cs="Century Gothic"/>
                <w:b/>
                <w:bCs/>
                <w:sz w:val="32"/>
                <w:szCs w:val="32"/>
              </w:rPr>
              <w:t>3</w:t>
            </w:r>
          </w:p>
        </w:tc>
        <w:tc>
          <w:tcPr>
            <w:tcW w:w="2410" w:type="dxa"/>
            <w:tcBorders>
              <w:top w:val="single" w:sz="8" w:space="0" w:color="FFFFFF"/>
              <w:left w:val="single" w:sz="8" w:space="0" w:color="FFFFFF"/>
              <w:bottom w:val="single" w:sz="8" w:space="0" w:color="FFFFFF"/>
              <w:right w:val="single" w:sz="8" w:space="0" w:color="FFFFFF"/>
            </w:tcBorders>
            <w:shd w:val="clear" w:color="auto" w:fill="E9EBF5"/>
            <w:tcMar>
              <w:top w:w="100" w:type="dxa"/>
              <w:left w:w="100" w:type="dxa"/>
              <w:bottom w:w="100" w:type="dxa"/>
              <w:right w:w="100" w:type="dxa"/>
            </w:tcMar>
          </w:tcPr>
          <w:p w:rsidR="00D33F17" w:rsidRPr="008A55A5" w:rsidRDefault="00080EDA">
            <w:pPr>
              <w:jc w:val="center"/>
              <w:rPr>
                <w:rFonts w:ascii="Century Gothic" w:eastAsia="Century Gothic" w:hAnsi="Century Gothic" w:cs="Century Gothic"/>
                <w:b/>
                <w:bCs/>
                <w:sz w:val="32"/>
                <w:szCs w:val="32"/>
              </w:rPr>
            </w:pPr>
            <w:r w:rsidRPr="008A55A5">
              <w:rPr>
                <w:rFonts w:ascii="Century Gothic" w:eastAsia="Century Gothic" w:hAnsi="Century Gothic" w:cs="Century Gothic"/>
                <w:b/>
                <w:bCs/>
                <w:sz w:val="32"/>
                <w:szCs w:val="32"/>
              </w:rPr>
              <w:t>1</w:t>
            </w:r>
          </w:p>
        </w:tc>
      </w:tr>
    </w:tbl>
    <w:p w:rsidR="00D33F17" w:rsidRDefault="00D33F17">
      <w:pPr>
        <w:pBdr>
          <w:top w:val="nil"/>
          <w:left w:val="nil"/>
          <w:bottom w:val="nil"/>
          <w:right w:val="nil"/>
          <w:between w:val="nil"/>
        </w:pBdr>
        <w:ind w:left="720"/>
        <w:rPr>
          <w:rFonts w:ascii="Arial" w:eastAsia="Arial" w:hAnsi="Arial" w:cs="Arial"/>
          <w:color w:val="002060"/>
          <w:sz w:val="24"/>
          <w:szCs w:val="24"/>
        </w:rPr>
      </w:pPr>
    </w:p>
    <w:p w:rsidR="00D33F17" w:rsidRDefault="00080EDA">
      <w:pPr>
        <w:jc w:val="center"/>
        <w:rPr>
          <w:rFonts w:ascii="Century Gothic" w:eastAsia="Century Gothic" w:hAnsi="Century Gothic" w:cs="Century Gothic"/>
          <w:b/>
          <w:bCs/>
          <w:color w:val="00B0F0"/>
          <w:sz w:val="28"/>
          <w:szCs w:val="28"/>
        </w:rPr>
      </w:pPr>
      <w:r>
        <w:rPr>
          <w:rFonts w:ascii="Century Gothic" w:eastAsia="Century Gothic" w:hAnsi="Century Gothic" w:cs="Century Gothic"/>
          <w:b/>
          <w:bCs/>
          <w:color w:val="00B0F0"/>
          <w:sz w:val="28"/>
          <w:szCs w:val="28"/>
        </w:rPr>
        <w:t>ESTRATEGIAS:</w:t>
      </w:r>
    </w:p>
    <w:p w:rsidR="00D33F17" w:rsidRDefault="00D33F17">
      <w:pPr>
        <w:jc w:val="center"/>
        <w:rPr>
          <w:rFonts w:ascii="Century Gothic" w:eastAsia="Century Gothic" w:hAnsi="Century Gothic" w:cs="Century Gothic"/>
          <w:b/>
          <w:bCs/>
          <w:color w:val="00B0F0"/>
          <w:sz w:val="28"/>
          <w:szCs w:val="28"/>
        </w:rPr>
      </w:pPr>
    </w:p>
    <w:p w:rsidR="00A832FD" w:rsidRDefault="00A832FD" w:rsidP="00A832FD">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Colocar 8000 créditos de forma ágil, eficiente y oportuna a los servidores públicos del Departamento en condición de afiliados a la Corporación Social de Cundinamarca.</w:t>
      </w:r>
    </w:p>
    <w:p w:rsidR="00A832FD" w:rsidRDefault="00A832FD" w:rsidP="00A832FD">
      <w:pPr>
        <w:jc w:val="both"/>
        <w:rPr>
          <w:rFonts w:ascii="Century Gothic" w:eastAsia="Century Gothic" w:hAnsi="Century Gothic" w:cs="Century Gothic"/>
          <w:b/>
          <w:bCs/>
          <w:color w:val="0070C0"/>
          <w:sz w:val="24"/>
          <w:szCs w:val="24"/>
        </w:rPr>
      </w:pPr>
    </w:p>
    <w:p w:rsidR="00A832FD" w:rsidRDefault="00A832FD" w:rsidP="00A832FD">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Prestar servicios de créditos a los afiliados del Departamento de forma ágil, eficiente y oportuna en las diferentes líneas activas por la Corporación Social de Cundinamarca. </w:t>
      </w:r>
    </w:p>
    <w:p w:rsidR="00A832FD" w:rsidRDefault="00A832FD" w:rsidP="00A832FD">
      <w:pPr>
        <w:pBdr>
          <w:top w:val="nil"/>
          <w:left w:val="nil"/>
          <w:bottom w:val="nil"/>
          <w:right w:val="nil"/>
          <w:between w:val="nil"/>
        </w:pBdr>
        <w:rPr>
          <w:rFonts w:ascii="Century Gothic" w:eastAsia="Century Gothic" w:hAnsi="Century Gothic" w:cs="Century Gothic"/>
          <w:color w:val="002060"/>
          <w:sz w:val="22"/>
          <w:szCs w:val="22"/>
        </w:rPr>
      </w:pPr>
    </w:p>
    <w:p w:rsidR="00A832FD" w:rsidRDefault="00A832FD" w:rsidP="00A832FD">
      <w:pPr>
        <w:pBdr>
          <w:top w:val="nil"/>
          <w:left w:val="nil"/>
          <w:bottom w:val="nil"/>
          <w:right w:val="nil"/>
          <w:between w:val="nil"/>
        </w:pBdr>
        <w:shd w:val="clear" w:color="auto" w:fill="FFFFFF"/>
        <w:spacing w:before="240" w:after="240"/>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Actividad:</w:t>
      </w:r>
    </w:p>
    <w:tbl>
      <w:tblPr>
        <w:tblStyle w:val="affffff0"/>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A832FD" w:rsidTr="003E4009">
        <w:trPr>
          <w:tblHeader/>
          <w:jc w:val="center"/>
        </w:trPr>
        <w:tc>
          <w:tcPr>
            <w:tcW w:w="1417" w:type="dxa"/>
            <w:shd w:val="clear" w:color="auto" w:fill="4F81BD"/>
            <w:tcMar>
              <w:top w:w="100" w:type="dxa"/>
              <w:left w:w="100" w:type="dxa"/>
              <w:bottom w:w="100" w:type="dxa"/>
              <w:right w:w="100" w:type="dxa"/>
            </w:tcMar>
            <w:vAlign w:val="center"/>
          </w:tcPr>
          <w:p w:rsidR="00A832FD" w:rsidRDefault="00A832FD" w:rsidP="003E4009">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A832FD" w:rsidRDefault="00A832FD"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A832FD" w:rsidRDefault="00A832FD"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A832FD" w:rsidRDefault="00A832FD"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A832FD" w:rsidRDefault="00A832FD"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A832FD" w:rsidRDefault="00A832FD"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A832FD" w:rsidRDefault="00A832FD" w:rsidP="003E4009">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A832FD" w:rsidTr="003E4009">
        <w:trPr>
          <w:trHeight w:val="482"/>
          <w:jc w:val="center"/>
        </w:trPr>
        <w:tc>
          <w:tcPr>
            <w:tcW w:w="1417" w:type="dxa"/>
            <w:tcMar>
              <w:top w:w="100" w:type="dxa"/>
              <w:left w:w="100" w:type="dxa"/>
              <w:bottom w:w="100" w:type="dxa"/>
              <w:right w:w="100" w:type="dxa"/>
            </w:tcMar>
            <w:vAlign w:val="center"/>
          </w:tcPr>
          <w:p w:rsidR="00A832FD" w:rsidRDefault="00A832FD"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1.800</w:t>
            </w:r>
          </w:p>
        </w:tc>
        <w:tc>
          <w:tcPr>
            <w:tcW w:w="1276" w:type="dxa"/>
            <w:vAlign w:val="center"/>
          </w:tcPr>
          <w:p w:rsidR="00A832FD" w:rsidRDefault="00A832FD"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1.315</w:t>
            </w:r>
          </w:p>
        </w:tc>
        <w:tc>
          <w:tcPr>
            <w:tcW w:w="1276" w:type="dxa"/>
            <w:vAlign w:val="center"/>
          </w:tcPr>
          <w:p w:rsidR="00A832FD" w:rsidRDefault="00A832FD"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73%</w:t>
            </w:r>
          </w:p>
        </w:tc>
        <w:tc>
          <w:tcPr>
            <w:tcW w:w="1418" w:type="dxa"/>
            <w:tcMar>
              <w:top w:w="100" w:type="dxa"/>
              <w:left w:w="100" w:type="dxa"/>
              <w:bottom w:w="100" w:type="dxa"/>
              <w:right w:w="100" w:type="dxa"/>
            </w:tcMar>
            <w:vAlign w:val="center"/>
          </w:tcPr>
          <w:p w:rsidR="00A832FD" w:rsidRDefault="00A832FD"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1.500</w:t>
            </w:r>
          </w:p>
        </w:tc>
        <w:tc>
          <w:tcPr>
            <w:tcW w:w="1417" w:type="dxa"/>
            <w:tcMar>
              <w:top w:w="100" w:type="dxa"/>
              <w:left w:w="100" w:type="dxa"/>
              <w:bottom w:w="100" w:type="dxa"/>
              <w:right w:w="100" w:type="dxa"/>
            </w:tcMar>
            <w:vAlign w:val="center"/>
          </w:tcPr>
          <w:p w:rsidR="00A832FD" w:rsidRDefault="00A832FD"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445</w:t>
            </w:r>
          </w:p>
        </w:tc>
        <w:tc>
          <w:tcPr>
            <w:tcW w:w="1417" w:type="dxa"/>
            <w:vAlign w:val="center"/>
          </w:tcPr>
          <w:p w:rsidR="00A832FD" w:rsidRDefault="00A832FD" w:rsidP="003E4009">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30%</w:t>
            </w:r>
          </w:p>
        </w:tc>
      </w:tr>
    </w:tbl>
    <w:p w:rsidR="00A832FD" w:rsidRDefault="00A832FD" w:rsidP="00A832FD">
      <w:pPr>
        <w:pBdr>
          <w:top w:val="nil"/>
          <w:left w:val="nil"/>
          <w:bottom w:val="nil"/>
          <w:right w:val="nil"/>
          <w:between w:val="nil"/>
        </w:pBdr>
        <w:rPr>
          <w:rFonts w:ascii="Century Gothic" w:eastAsia="Century Gothic" w:hAnsi="Century Gothic" w:cs="Century Gothic"/>
          <w:color w:val="002060"/>
          <w:sz w:val="22"/>
          <w:szCs w:val="22"/>
        </w:rPr>
      </w:pPr>
    </w:p>
    <w:p w:rsidR="00A832FD" w:rsidRDefault="00A832FD" w:rsidP="00A832FD">
      <w:pPr>
        <w:pBdr>
          <w:top w:val="nil"/>
          <w:left w:val="nil"/>
          <w:bottom w:val="nil"/>
          <w:right w:val="nil"/>
          <w:between w:val="nil"/>
        </w:pBdr>
        <w:rPr>
          <w:rFonts w:ascii="Quattrocento Sans" w:eastAsia="Quattrocento Sans" w:hAnsi="Quattrocento Sans" w:cs="Quattrocento Sans"/>
          <w:b/>
          <w:bCs/>
          <w:color w:val="000000"/>
          <w:sz w:val="24"/>
          <w:szCs w:val="24"/>
        </w:rPr>
      </w:pPr>
    </w:p>
    <w:p w:rsidR="00A832FD" w:rsidRDefault="00A832FD" w:rsidP="00A832FD">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sidR="00FC3B3E">
        <w:rPr>
          <w:rFonts w:ascii="Century Gothic" w:eastAsia="Century Gothic" w:hAnsi="Century Gothic" w:cs="Century Gothic"/>
          <w:color w:val="002060"/>
          <w:sz w:val="22"/>
          <w:szCs w:val="22"/>
        </w:rPr>
        <w:t>16%</w:t>
      </w:r>
    </w:p>
    <w:p w:rsidR="00A832FD" w:rsidRDefault="00A832FD" w:rsidP="00A832FD">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físico acumulado: </w:t>
      </w:r>
      <w:r w:rsidR="00FC3B3E">
        <w:rPr>
          <w:rFonts w:ascii="Century Gothic" w:eastAsia="Century Gothic" w:hAnsi="Century Gothic" w:cs="Century Gothic"/>
          <w:b/>
          <w:bCs/>
          <w:color w:val="002060"/>
          <w:sz w:val="22"/>
          <w:szCs w:val="22"/>
        </w:rPr>
        <w:t>73%</w:t>
      </w:r>
    </w:p>
    <w:p w:rsidR="00FC3B3E" w:rsidRDefault="00FC3B3E" w:rsidP="00A832FD">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p>
    <w:p w:rsidR="00A832FD" w:rsidRDefault="00A832FD" w:rsidP="00A832FD">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La Corporación mantiene una gestión crediticia estable y sostenible, fortaleciendo la recuperación de cartera y garantizando la continuidad del servicio financiero a los servidores públicos afiliados.</w:t>
      </w:r>
    </w:p>
    <w:p w:rsidR="00A832FD" w:rsidRDefault="00A832FD">
      <w:pPr>
        <w:jc w:val="center"/>
        <w:rPr>
          <w:rFonts w:ascii="Century Gothic" w:eastAsia="Century Gothic" w:hAnsi="Century Gothic" w:cs="Century Gothic"/>
          <w:b/>
          <w:bCs/>
          <w:color w:val="00B0F0"/>
          <w:sz w:val="28"/>
          <w:szCs w:val="28"/>
        </w:rPr>
      </w:pPr>
    </w:p>
    <w:p w:rsidR="00D33F17" w:rsidRDefault="00D33F17"/>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Fortalecer la estructura de comercialización, permitiendo incrementar la generación de ingresos mediante nuevas metodologías y canales de comunicación efectivos para ventas personales y virtuales.</w:t>
      </w:r>
    </w:p>
    <w:p w:rsidR="00D33F17" w:rsidRDefault="00080EDA">
      <w:pPr>
        <w:pBdr>
          <w:top w:val="nil"/>
          <w:left w:val="nil"/>
          <w:bottom w:val="nil"/>
          <w:right w:val="nil"/>
          <w:between w:val="nil"/>
        </w:pBdr>
        <w:shd w:val="clear" w:color="auto" w:fill="FFFFFF"/>
        <w:spacing w:before="240" w:after="240"/>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Reto: </w:t>
      </w:r>
      <w:r>
        <w:rPr>
          <w:rFonts w:ascii="Century Gothic" w:eastAsia="Century Gothic" w:hAnsi="Century Gothic" w:cs="Century Gothic"/>
          <w:color w:val="002060"/>
          <w:sz w:val="22"/>
          <w:szCs w:val="22"/>
        </w:rPr>
        <w:t>Incrementar las ventas de la lotería en el Departamento de Cundinamarca con acciones estratégicas para cada municipio en compañía de la Gobernación de Cundinamarca</w:t>
      </w:r>
      <w:r>
        <w:rPr>
          <w:rFonts w:ascii="Century Gothic" w:eastAsia="Century Gothic" w:hAnsi="Century Gothic" w:cs="Century Gothic"/>
          <w:b/>
          <w:bCs/>
          <w:color w:val="002060"/>
          <w:sz w:val="22"/>
          <w:szCs w:val="22"/>
        </w:rPr>
        <w:t>.</w:t>
      </w:r>
    </w:p>
    <w:p w:rsidR="00D33F17" w:rsidRDefault="00080EDA">
      <w:pPr>
        <w:pBdr>
          <w:top w:val="nil"/>
          <w:left w:val="nil"/>
          <w:bottom w:val="nil"/>
          <w:right w:val="nil"/>
          <w:between w:val="nil"/>
        </w:pBdr>
        <w:shd w:val="clear" w:color="auto" w:fill="FFFFFF"/>
        <w:spacing w:before="240" w:after="240"/>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lastRenderedPageBreak/>
        <w:t xml:space="preserve">Actividad: </w:t>
      </w:r>
      <w:r>
        <w:rPr>
          <w:rFonts w:ascii="Century Gothic" w:eastAsia="Century Gothic" w:hAnsi="Century Gothic" w:cs="Century Gothic"/>
          <w:color w:val="002060"/>
          <w:sz w:val="22"/>
          <w:szCs w:val="22"/>
        </w:rPr>
        <w:t>Fortalecer la estructura de comercialización, permitiendo incrementar la generación de ingresos mediante nuevas metodologías y canales de comunicación efectivos para ventas personales y virtuales y Mantener un crecimiento en ventas anuales sobre la base de ventas al cierre de la vigencia 2023.</w:t>
      </w:r>
    </w:p>
    <w:tbl>
      <w:tblPr>
        <w:tblStyle w:val="affffff"/>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E63927" w:rsidP="00E63927">
            <w:pPr>
              <w:widowControl w:val="0"/>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3600</w:t>
            </w:r>
          </w:p>
        </w:tc>
        <w:tc>
          <w:tcPr>
            <w:tcW w:w="1276" w:type="dxa"/>
            <w:vAlign w:val="center"/>
          </w:tcPr>
          <w:p w:rsidR="00D33F17" w:rsidRDefault="00E63927" w:rsidP="00E63927">
            <w:pPr>
              <w:widowControl w:val="0"/>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3600</w:t>
            </w:r>
          </w:p>
        </w:tc>
        <w:tc>
          <w:tcPr>
            <w:tcW w:w="1276" w:type="dxa"/>
            <w:vAlign w:val="center"/>
          </w:tcPr>
          <w:p w:rsidR="00D33F17" w:rsidRDefault="00E63927">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109%</w:t>
            </w:r>
          </w:p>
        </w:tc>
        <w:tc>
          <w:tcPr>
            <w:tcW w:w="1418" w:type="dxa"/>
            <w:tcMar>
              <w:top w:w="100" w:type="dxa"/>
              <w:left w:w="100" w:type="dxa"/>
              <w:bottom w:w="100" w:type="dxa"/>
              <w:right w:w="100" w:type="dxa"/>
            </w:tcMar>
            <w:vAlign w:val="center"/>
          </w:tcPr>
          <w:p w:rsidR="00D33F17" w:rsidRDefault="00E63927" w:rsidP="00E63927">
            <w:pPr>
              <w:widowControl w:val="0"/>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3929</w:t>
            </w:r>
          </w:p>
        </w:tc>
        <w:tc>
          <w:tcPr>
            <w:tcW w:w="1417" w:type="dxa"/>
            <w:tcMar>
              <w:top w:w="100" w:type="dxa"/>
              <w:left w:w="100" w:type="dxa"/>
              <w:bottom w:w="100" w:type="dxa"/>
              <w:right w:w="100" w:type="dxa"/>
            </w:tcMar>
            <w:vAlign w:val="center"/>
          </w:tcPr>
          <w:p w:rsidR="00D33F17" w:rsidRDefault="00E63927" w:rsidP="00E63927">
            <w:pPr>
              <w:widowControl w:val="0"/>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1921</w:t>
            </w:r>
          </w:p>
        </w:tc>
        <w:tc>
          <w:tcPr>
            <w:tcW w:w="1417" w:type="dxa"/>
            <w:vAlign w:val="center"/>
          </w:tcPr>
          <w:p w:rsidR="00D33F17" w:rsidRDefault="00E63927">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53%</w:t>
            </w:r>
          </w:p>
        </w:tc>
      </w:tr>
    </w:tbl>
    <w:p w:rsidR="00D33F17" w:rsidRDefault="00D33F17">
      <w:pPr>
        <w:pBdr>
          <w:top w:val="nil"/>
          <w:left w:val="nil"/>
          <w:bottom w:val="nil"/>
          <w:right w:val="nil"/>
          <w:between w:val="nil"/>
        </w:pBdr>
        <w:ind w:left="720"/>
        <w:rPr>
          <w:rFonts w:ascii="Arial" w:eastAsia="Arial" w:hAnsi="Arial" w:cs="Arial"/>
          <w:color w:val="002060"/>
          <w:sz w:val="24"/>
          <w:szCs w:val="24"/>
        </w:rPr>
      </w:pPr>
    </w:p>
    <w:p w:rsidR="00E63927" w:rsidRDefault="00E63927" w:rsidP="00E63927">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sidR="001D61B9">
        <w:rPr>
          <w:rFonts w:ascii="Century Gothic" w:eastAsia="Century Gothic" w:hAnsi="Century Gothic" w:cs="Century Gothic"/>
          <w:color w:val="002060"/>
          <w:sz w:val="22"/>
          <w:szCs w:val="22"/>
        </w:rPr>
        <w:t>40.6%</w:t>
      </w:r>
    </w:p>
    <w:p w:rsidR="00E63927" w:rsidRDefault="00E63927" w:rsidP="00E63927">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físico acumulado: </w:t>
      </w:r>
      <w:r w:rsidR="001D61B9">
        <w:rPr>
          <w:rFonts w:ascii="Century Gothic" w:eastAsia="Century Gothic" w:hAnsi="Century Gothic" w:cs="Century Gothic"/>
          <w:b/>
          <w:bCs/>
          <w:color w:val="002060"/>
          <w:sz w:val="22"/>
          <w:szCs w:val="22"/>
        </w:rPr>
        <w:t xml:space="preserve"> </w:t>
      </w:r>
      <w:r w:rsidR="001D61B9" w:rsidRPr="001D61B9">
        <w:rPr>
          <w:rFonts w:ascii="Century Gothic" w:eastAsia="Century Gothic" w:hAnsi="Century Gothic" w:cs="Century Gothic"/>
          <w:bCs/>
          <w:color w:val="002060"/>
          <w:sz w:val="22"/>
          <w:szCs w:val="22"/>
        </w:rPr>
        <w:t>81.2%</w:t>
      </w:r>
    </w:p>
    <w:p w:rsidR="00D33F17" w:rsidRDefault="00D33F17">
      <w:pPr>
        <w:pBdr>
          <w:top w:val="nil"/>
          <w:left w:val="nil"/>
          <w:bottom w:val="nil"/>
          <w:right w:val="nil"/>
          <w:between w:val="nil"/>
        </w:pBdr>
        <w:ind w:left="720"/>
        <w:rPr>
          <w:rFonts w:ascii="Arial" w:eastAsia="Arial" w:hAnsi="Arial" w:cs="Arial"/>
          <w:color w:val="002060"/>
          <w:sz w:val="24"/>
          <w:szCs w:val="24"/>
        </w:rPr>
      </w:pPr>
    </w:p>
    <w:p w:rsidR="00466E30" w:rsidRDefault="00466E30">
      <w:pPr>
        <w:pBdr>
          <w:top w:val="nil"/>
          <w:left w:val="nil"/>
          <w:bottom w:val="nil"/>
          <w:right w:val="nil"/>
          <w:between w:val="nil"/>
        </w:pBdr>
        <w:rPr>
          <w:rFonts w:ascii="Quattrocento Sans" w:eastAsia="Quattrocento Sans" w:hAnsi="Quattrocento Sans" w:cs="Quattrocento Sans"/>
          <w:color w:val="000000"/>
          <w:sz w:val="24"/>
          <w:szCs w:val="24"/>
        </w:rPr>
      </w:pPr>
    </w:p>
    <w:p w:rsidR="00D33F17" w:rsidRDefault="00080EDA">
      <w:pPr>
        <w:jc w:val="both"/>
        <w:rPr>
          <w:rFonts w:ascii="Quattrocento Sans" w:eastAsia="Quattrocento Sans" w:hAnsi="Quattrocento Sans" w:cs="Quattrocento Sans"/>
          <w:color w:val="002060"/>
        </w:rPr>
      </w:pPr>
      <w:r>
        <w:rPr>
          <w:rFonts w:ascii="Century Gothic" w:eastAsia="Century Gothic" w:hAnsi="Century Gothic" w:cs="Century Gothic"/>
          <w:b/>
          <w:bCs/>
          <w:color w:val="0070C0"/>
          <w:sz w:val="24"/>
          <w:szCs w:val="24"/>
        </w:rPr>
        <w:t>Fortalecer y optimizar el Programa Integral de Bienestar Social con actividades, convenios y alianzas que incluyan capacitación, recreación, cultura, promoción, subsidios educativos, entre otros. Donde se logre beneficiar al 20% de los afiliados y sus beneficiarios.</w:t>
      </w:r>
      <w:r>
        <w:rPr>
          <w:rFonts w:ascii="Quattrocento Sans" w:eastAsia="Quattrocento Sans" w:hAnsi="Quattrocento Sans" w:cs="Quattrocento Sans"/>
          <w:color w:val="002060"/>
        </w:rPr>
        <w:t xml:space="preserve"> </w:t>
      </w:r>
    </w:p>
    <w:p w:rsidR="00D33F17" w:rsidRDefault="00D33F17">
      <w:pPr>
        <w:jc w:val="both"/>
        <w:rPr>
          <w:rFonts w:ascii="Quattrocento Sans" w:eastAsia="Quattrocento Sans" w:hAnsi="Quattrocento Sans" w:cs="Quattrocento Sans"/>
          <w:color w:val="002060"/>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Fortalecer en la Corporación Social de Cundinamarca el Programa de Bienestar Integral para los afiliados y sus beneficiarios, con el propósito de mejorar la calidad de vida, lograr su fidelización, así como, la promoción, reconocimiento y posicionamiento de la Entidad. </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tbl>
      <w:tblPr>
        <w:tblStyle w:val="affffff2"/>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w:t>
            </w:r>
            <w:r w:rsidR="00E63927">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o 20</w:t>
            </w:r>
            <w:r w:rsidR="00E63927">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w:t>
            </w:r>
            <w:r w:rsidR="00E63927">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w:t>
            </w:r>
            <w:r w:rsidR="00E63927">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ado 2025</w:t>
            </w:r>
          </w:p>
        </w:tc>
        <w:tc>
          <w:tcPr>
            <w:tcW w:w="1417" w:type="dxa"/>
            <w:shd w:val="clear" w:color="auto" w:fill="4BACC6"/>
            <w:tcMar>
              <w:top w:w="100" w:type="dxa"/>
              <w:left w:w="100" w:type="dxa"/>
              <w:bottom w:w="100" w:type="dxa"/>
              <w:right w:w="100" w:type="dxa"/>
            </w:tcMar>
            <w:vAlign w:val="center"/>
          </w:tcPr>
          <w:p w:rsidR="00D33F17" w:rsidRDefault="00080EDA" w:rsidP="00E63927">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w:t>
            </w:r>
            <w:r w:rsidR="00E63927">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 xml:space="preserve">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w:t>
            </w:r>
            <w:r w:rsidR="00E63927">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25</w:t>
            </w:r>
          </w:p>
        </w:tc>
      </w:tr>
      <w:tr w:rsidR="00D33F17">
        <w:trPr>
          <w:trHeight w:val="482"/>
          <w:jc w:val="center"/>
        </w:trPr>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3.600</w:t>
            </w:r>
          </w:p>
        </w:tc>
        <w:tc>
          <w:tcPr>
            <w:tcW w:w="1276"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3.926</w:t>
            </w:r>
          </w:p>
        </w:tc>
        <w:tc>
          <w:tcPr>
            <w:tcW w:w="1276" w:type="dxa"/>
            <w:vAlign w:val="center"/>
          </w:tcPr>
          <w:p w:rsidR="00D33F17" w:rsidRDefault="00466E30">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109</w:t>
            </w:r>
            <w:r w:rsidR="00080EDA">
              <w:rPr>
                <w:rFonts w:ascii="Century Gothic" w:eastAsia="Century Gothic" w:hAnsi="Century Gothic" w:cs="Century Gothic"/>
                <w:color w:val="002060"/>
                <w:sz w:val="22"/>
                <w:szCs w:val="22"/>
              </w:rPr>
              <w:t>%</w:t>
            </w:r>
          </w:p>
        </w:tc>
        <w:tc>
          <w:tcPr>
            <w:tcW w:w="1418"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3.600</w:t>
            </w:r>
          </w:p>
        </w:tc>
        <w:tc>
          <w:tcPr>
            <w:tcW w:w="1417" w:type="dxa"/>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1.921</w:t>
            </w:r>
          </w:p>
        </w:tc>
        <w:tc>
          <w:tcPr>
            <w:tcW w:w="1417" w:type="dxa"/>
            <w:vAlign w:val="center"/>
          </w:tcPr>
          <w:p w:rsidR="00D33F17" w:rsidRDefault="00080EDA">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53%</w:t>
            </w:r>
          </w:p>
        </w:tc>
      </w:tr>
    </w:tbl>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E63927" w:rsidRDefault="00E63927" w:rsidP="00E6392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Quattrocento Sans" w:eastAsia="Quattrocento Sans" w:hAnsi="Quattrocento Sans" w:cs="Quattrocento Sans"/>
          <w:b/>
          <w:bCs/>
          <w:color w:val="000000"/>
          <w:sz w:val="24"/>
          <w:szCs w:val="24"/>
        </w:rPr>
        <w:t xml:space="preserve"> </w:t>
      </w:r>
      <w:r>
        <w:rPr>
          <w:rFonts w:ascii="Century Gothic" w:eastAsia="Century Gothic" w:hAnsi="Century Gothic" w:cs="Century Gothic"/>
          <w:b/>
          <w:bCs/>
          <w:color w:val="002060"/>
          <w:sz w:val="22"/>
          <w:szCs w:val="22"/>
        </w:rPr>
        <w:t>Avance acumulado: 40.8%</w:t>
      </w:r>
    </w:p>
    <w:p w:rsidR="00E63927" w:rsidRDefault="00E63927" w:rsidP="00E63927">
      <w:pPr>
        <w:pBdr>
          <w:top w:val="nil"/>
          <w:left w:val="nil"/>
          <w:bottom w:val="nil"/>
          <w:right w:val="nil"/>
          <w:between w:val="nil"/>
        </w:pBdr>
        <w:shd w:val="clear" w:color="auto" w:fill="FFFFFF"/>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físico acumulado: 81.2%</w:t>
      </w:r>
    </w:p>
    <w:p w:rsidR="00E63927" w:rsidRDefault="00E63927" w:rsidP="00E63927">
      <w:pPr>
        <w:pBdr>
          <w:top w:val="nil"/>
          <w:left w:val="nil"/>
          <w:bottom w:val="nil"/>
          <w:right w:val="nil"/>
          <w:between w:val="nil"/>
        </w:pBdr>
        <w:rPr>
          <w:rFonts w:ascii="Century Gothic" w:eastAsia="Century Gothic" w:hAnsi="Century Gothic" w:cs="Century Gothic"/>
          <w:b/>
          <w:bCs/>
          <w:color w:val="002060"/>
          <w:sz w:val="22"/>
          <w:szCs w:val="22"/>
        </w:rPr>
      </w:pPr>
    </w:p>
    <w:p w:rsidR="00D33F17" w:rsidRDefault="00D33F17">
      <w:pPr>
        <w:pBdr>
          <w:top w:val="nil"/>
          <w:left w:val="nil"/>
          <w:bottom w:val="nil"/>
          <w:right w:val="nil"/>
          <w:between w:val="nil"/>
        </w:pBdr>
        <w:rPr>
          <w:rFonts w:ascii="Quattrocento Sans" w:eastAsia="Quattrocento Sans" w:hAnsi="Quattrocento Sans" w:cs="Quattrocento Sans"/>
          <w:b/>
          <w:bCs/>
          <w:color w:val="000000"/>
          <w:sz w:val="24"/>
          <w:szCs w:val="24"/>
        </w:rPr>
      </w:pPr>
    </w:p>
    <w:p w:rsidR="00D33F17" w:rsidRDefault="00080EDA">
      <w:pPr>
        <w:pBdr>
          <w:top w:val="nil"/>
          <w:left w:val="nil"/>
          <w:bottom w:val="nil"/>
          <w:right w:val="nil"/>
          <w:between w:val="nil"/>
        </w:pBdr>
        <w:rPr>
          <w:rFonts w:ascii="Quattrocento Sans" w:eastAsia="Quattrocento Sans" w:hAnsi="Quattrocento Sans" w:cs="Quattrocento Sans"/>
          <w:color w:val="000000"/>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El programa se consolida como un pilar de la gestión institucional, impactando positivamente el bienestar y la fidelización de los afiliados, con un desempeño sostenido y cobertura creciente.</w:t>
      </w:r>
    </w:p>
    <w:p w:rsidR="00D33F17" w:rsidRDefault="00D33F17">
      <w:pPr>
        <w:rPr>
          <w:rFonts w:ascii="Quattrocento Sans" w:eastAsia="Quattrocento Sans" w:hAnsi="Quattrocento Sans" w:cs="Quattrocento Sans"/>
        </w:rPr>
      </w:pPr>
    </w:p>
    <w:p w:rsidR="00D33F17" w:rsidRDefault="00080EDA">
      <w:pPr>
        <w:jc w:val="both"/>
        <w:rPr>
          <w:rFonts w:ascii="Century Gothic" w:eastAsia="Century Gothic" w:hAnsi="Century Gothic" w:cs="Century Gothic"/>
          <w:b/>
          <w:bCs/>
          <w:color w:val="0070C0"/>
          <w:sz w:val="24"/>
          <w:szCs w:val="24"/>
        </w:rPr>
      </w:pPr>
      <w:r>
        <w:rPr>
          <w:rFonts w:ascii="Century Gothic" w:eastAsia="Century Gothic" w:hAnsi="Century Gothic" w:cs="Century Gothic"/>
          <w:b/>
          <w:bCs/>
          <w:color w:val="0070C0"/>
          <w:sz w:val="24"/>
          <w:szCs w:val="24"/>
        </w:rPr>
        <w:t>Implementar puntos de atención integral descentralizados de la Corporación Social de Cundinamarca, en 3 sedes estratégicamente ubicadas que permitan mejorar la calidad del servicio prestado, la eficiencia operativa, el reconocimiento y posicionamiento de la Entidad.</w:t>
      </w:r>
    </w:p>
    <w:p w:rsidR="00D33F17" w:rsidRDefault="00D33F17">
      <w:pPr>
        <w:jc w:val="both"/>
        <w:rPr>
          <w:rFonts w:ascii="Century Gothic" w:eastAsia="Century Gothic" w:hAnsi="Century Gothic" w:cs="Century Gothic"/>
          <w:b/>
          <w:bCs/>
          <w:color w:val="0070C0"/>
          <w:sz w:val="24"/>
          <w:szCs w:val="24"/>
        </w:rPr>
      </w:pP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Descentralización de la Corporación Social de Cundinamarca, para optimizar la atención de los afiliados en las provincias del Departamento. </w:t>
      </w:r>
    </w:p>
    <w:p w:rsidR="00D33F17" w:rsidRDefault="00D33F17">
      <w:pPr>
        <w:pBdr>
          <w:top w:val="nil"/>
          <w:left w:val="nil"/>
          <w:bottom w:val="nil"/>
          <w:right w:val="nil"/>
          <w:between w:val="nil"/>
        </w:pBdr>
        <w:jc w:val="both"/>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Actividad:</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tbl>
      <w:tblPr>
        <w:tblStyle w:val="affffff4"/>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 xml:space="preserve">Ejecutado </w:t>
            </w:r>
            <w:r w:rsidR="00590158">
              <w:rPr>
                <w:rFonts w:ascii="Century Gothic" w:eastAsia="Century Gothic" w:hAnsi="Century Gothic" w:cs="Century Gothic"/>
                <w:b/>
                <w:bCs/>
                <w:color w:val="FFFFFF"/>
                <w:sz w:val="18"/>
                <w:szCs w:val="18"/>
              </w:rPr>
              <w:t xml:space="preserve"> </w:t>
            </w:r>
            <w:r>
              <w:rPr>
                <w:rFonts w:ascii="Century Gothic" w:eastAsia="Century Gothic" w:hAnsi="Century Gothic" w:cs="Century Gothic"/>
                <w:b/>
                <w:bCs/>
                <w:color w:val="FFFFFF"/>
                <w:sz w:val="18"/>
                <w:szCs w:val="18"/>
              </w:rPr>
              <w:t>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E6633B" w:rsidP="00E6633B">
            <w:pPr>
              <w:widowControl w:val="0"/>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276" w:type="dxa"/>
            <w:vAlign w:val="center"/>
          </w:tcPr>
          <w:p w:rsidR="00D33F17" w:rsidRDefault="00E6633B">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w:t>
            </w:r>
          </w:p>
        </w:tc>
        <w:tc>
          <w:tcPr>
            <w:tcW w:w="1276" w:type="dxa"/>
            <w:vAlign w:val="center"/>
          </w:tcPr>
          <w:p w:rsidR="00D33F17" w:rsidRDefault="00E6633B">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8" w:type="dxa"/>
            <w:tcMar>
              <w:top w:w="100" w:type="dxa"/>
              <w:left w:w="100" w:type="dxa"/>
              <w:bottom w:w="100" w:type="dxa"/>
              <w:right w:w="100" w:type="dxa"/>
            </w:tcMar>
            <w:vAlign w:val="center"/>
          </w:tcPr>
          <w:p w:rsidR="00D33F17" w:rsidRDefault="00E6633B" w:rsidP="00E6633B">
            <w:pPr>
              <w:widowControl w:val="0"/>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tcMar>
              <w:top w:w="100" w:type="dxa"/>
              <w:left w:w="100" w:type="dxa"/>
              <w:bottom w:w="100" w:type="dxa"/>
              <w:right w:w="100" w:type="dxa"/>
            </w:tcMar>
            <w:vAlign w:val="center"/>
          </w:tcPr>
          <w:p w:rsidR="00D33F17" w:rsidRDefault="00E6633B">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c>
          <w:tcPr>
            <w:tcW w:w="1417" w:type="dxa"/>
            <w:vAlign w:val="center"/>
          </w:tcPr>
          <w:p w:rsidR="00D33F17" w:rsidRDefault="00E6633B">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0</w:t>
            </w:r>
          </w:p>
        </w:tc>
      </w:tr>
    </w:tbl>
    <w:p w:rsidR="00D33F17" w:rsidRDefault="00D33F17">
      <w:pPr>
        <w:pBdr>
          <w:top w:val="nil"/>
          <w:left w:val="nil"/>
          <w:bottom w:val="nil"/>
          <w:right w:val="nil"/>
          <w:between w:val="nil"/>
        </w:pBdr>
        <w:rPr>
          <w:rFonts w:ascii="Quattrocento Sans" w:eastAsia="Quattrocento Sans" w:hAnsi="Quattrocento Sans" w:cs="Quattrocento Sans"/>
          <w:b/>
          <w:bCs/>
          <w:color w:val="000000"/>
          <w:sz w:val="24"/>
          <w:szCs w:val="24"/>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sidR="0066727F">
        <w:rPr>
          <w:rFonts w:ascii="Century Gothic" w:eastAsia="Century Gothic" w:hAnsi="Century Gothic" w:cs="Century Gothic"/>
          <w:b/>
          <w:bCs/>
          <w:color w:val="002060"/>
          <w:sz w:val="22"/>
          <w:szCs w:val="22"/>
        </w:rPr>
        <w:t xml:space="preserve"> </w:t>
      </w:r>
      <w:r w:rsidR="00E6633B">
        <w:rPr>
          <w:rFonts w:ascii="Century Gothic" w:eastAsia="Century Gothic" w:hAnsi="Century Gothic" w:cs="Century Gothic"/>
          <w:b/>
          <w:bCs/>
          <w:color w:val="002060"/>
          <w:sz w:val="22"/>
          <w:szCs w:val="22"/>
        </w:rPr>
        <w:t>0</w:t>
      </w:r>
      <w:r>
        <w:rPr>
          <w:rFonts w:ascii="Century Gothic" w:eastAsia="Century Gothic" w:hAnsi="Century Gothic" w:cs="Century Gothic"/>
          <w:color w:val="002060"/>
          <w:sz w:val="22"/>
          <w:szCs w:val="22"/>
        </w:rPr>
        <w:t> </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físico acumulado: </w:t>
      </w:r>
      <w:r w:rsidR="00E6633B">
        <w:rPr>
          <w:rFonts w:ascii="Century Gothic" w:eastAsia="Century Gothic" w:hAnsi="Century Gothic" w:cs="Century Gothic"/>
          <w:b/>
          <w:bCs/>
          <w:color w:val="002060"/>
          <w:sz w:val="22"/>
          <w:szCs w:val="22"/>
        </w:rPr>
        <w:t>0</w:t>
      </w:r>
    </w:p>
    <w:p w:rsidR="00D33F17" w:rsidRDefault="00080EDA">
      <w:pPr>
        <w:pBdr>
          <w:top w:val="nil"/>
          <w:left w:val="nil"/>
          <w:bottom w:val="nil"/>
          <w:right w:val="nil"/>
          <w:between w:val="nil"/>
        </w:pBdr>
        <w:rPr>
          <w:rFonts w:ascii="Quattrocento Sans" w:eastAsia="Quattrocento Sans" w:hAnsi="Quattrocento Sans" w:cs="Quattrocento Sans"/>
          <w:color w:val="000000"/>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Aunque no se evidencian avances materiales, la planeación y gestión administrativa sientan las bases para iniciar la apertura de la primera sede descentralizada en 2026.</w:t>
      </w:r>
    </w:p>
    <w:p w:rsidR="00D33F17" w:rsidRDefault="00D33F17">
      <w:pPr>
        <w:rPr>
          <w:rFonts w:ascii="Quattrocento Sans" w:eastAsia="Quattrocento Sans" w:hAnsi="Quattrocento Sans" w:cs="Quattrocento Sans"/>
        </w:rPr>
      </w:pPr>
    </w:p>
    <w:p w:rsidR="00D33F17" w:rsidRPr="003E4009" w:rsidRDefault="00080EDA">
      <w:pPr>
        <w:pStyle w:val="Ttulo3"/>
        <w:rPr>
          <w:rFonts w:ascii="Century Gothic" w:eastAsia="Century Gothic" w:hAnsi="Century Gothic" w:cs="Century Gothic"/>
          <w:sz w:val="24"/>
          <w:szCs w:val="24"/>
        </w:rPr>
      </w:pPr>
      <w:r w:rsidRPr="003E4009">
        <w:rPr>
          <w:rFonts w:ascii="Century Gothic" w:eastAsia="Century Gothic" w:hAnsi="Century Gothic" w:cs="Century Gothic"/>
          <w:sz w:val="24"/>
          <w:szCs w:val="24"/>
        </w:rPr>
        <w:t>Diseñar y desarrollar una estrategia para fortalecer y modernizar el área tecnológica y digital que garanticen la operación, el soporte y mantenimiento de las diferentes soluciones tecnológicas utilizadas por la entidad para servicios tanto internos como externos.</w:t>
      </w:r>
    </w:p>
    <w:p w:rsidR="00D33F17" w:rsidRDefault="00D33F17"/>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Disminuir el porcentaje de cartera en estado Jurídico por debajo del 16% </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Actividad:</w:t>
      </w:r>
    </w:p>
    <w:p w:rsidR="0066727F" w:rsidRPr="0066727F" w:rsidRDefault="0066727F" w:rsidP="0066727F">
      <w:pPr>
        <w:pStyle w:val="Prrafodelista"/>
        <w:numPr>
          <w:ilvl w:val="0"/>
          <w:numId w:val="12"/>
        </w:numPr>
        <w:pBdr>
          <w:top w:val="nil"/>
          <w:left w:val="nil"/>
          <w:bottom w:val="nil"/>
          <w:right w:val="nil"/>
          <w:between w:val="nil"/>
        </w:pBdr>
        <w:rPr>
          <w:rFonts w:ascii="Century Gothic" w:eastAsia="Century Gothic" w:hAnsi="Century Gothic" w:cs="Century Gothic"/>
          <w:bCs/>
          <w:sz w:val="22"/>
          <w:szCs w:val="22"/>
        </w:rPr>
      </w:pPr>
      <w:r w:rsidRPr="0066727F">
        <w:rPr>
          <w:rFonts w:ascii="Century Gothic" w:eastAsia="Century Gothic" w:hAnsi="Century Gothic" w:cs="Century Gothic"/>
          <w:bCs/>
          <w:sz w:val="22"/>
          <w:szCs w:val="22"/>
        </w:rPr>
        <w:t>la adquisición de tecnología que permita el seguimiento en tiempo real de los procesos que se encuentren en la Rama Judicial.</w:t>
      </w:r>
    </w:p>
    <w:p w:rsidR="0066727F" w:rsidRPr="0066727F" w:rsidRDefault="0066727F" w:rsidP="0066727F">
      <w:pPr>
        <w:pStyle w:val="Prrafodelista"/>
        <w:numPr>
          <w:ilvl w:val="0"/>
          <w:numId w:val="12"/>
        </w:numPr>
        <w:pBdr>
          <w:top w:val="nil"/>
          <w:left w:val="nil"/>
          <w:bottom w:val="nil"/>
          <w:right w:val="nil"/>
          <w:between w:val="nil"/>
        </w:pBdr>
        <w:rPr>
          <w:rFonts w:ascii="Century Gothic" w:eastAsia="Century Gothic" w:hAnsi="Century Gothic" w:cs="Century Gothic"/>
          <w:bCs/>
          <w:sz w:val="22"/>
          <w:szCs w:val="22"/>
        </w:rPr>
      </w:pPr>
      <w:r w:rsidRPr="0066727F">
        <w:rPr>
          <w:rFonts w:ascii="Century Gothic" w:eastAsia="Century Gothic" w:hAnsi="Century Gothic" w:cs="Century Gothic"/>
          <w:bCs/>
          <w:sz w:val="22"/>
          <w:szCs w:val="22"/>
        </w:rPr>
        <w:t>adquirir tecnología para la actualización de bases de datos y fortalecer los canales de atención al cliente.</w:t>
      </w:r>
    </w:p>
    <w:p w:rsidR="0066727F" w:rsidRPr="0066727F" w:rsidRDefault="0066727F" w:rsidP="0066727F">
      <w:pPr>
        <w:pStyle w:val="Prrafodelista"/>
        <w:numPr>
          <w:ilvl w:val="0"/>
          <w:numId w:val="12"/>
        </w:numPr>
        <w:pBdr>
          <w:top w:val="nil"/>
          <w:left w:val="nil"/>
          <w:bottom w:val="nil"/>
          <w:right w:val="nil"/>
          <w:between w:val="nil"/>
        </w:pBdr>
        <w:rPr>
          <w:rFonts w:ascii="Century Gothic" w:eastAsia="Century Gothic" w:hAnsi="Century Gothic" w:cs="Century Gothic"/>
          <w:bCs/>
          <w:sz w:val="22"/>
          <w:szCs w:val="22"/>
        </w:rPr>
      </w:pPr>
      <w:r w:rsidRPr="0066727F">
        <w:rPr>
          <w:rFonts w:ascii="Century Gothic" w:eastAsia="Century Gothic" w:hAnsi="Century Gothic" w:cs="Century Gothic"/>
          <w:bCs/>
          <w:sz w:val="22"/>
          <w:szCs w:val="22"/>
        </w:rPr>
        <w:t>fortalecimiento financiero del afiliado.</w:t>
      </w:r>
    </w:p>
    <w:p w:rsidR="003E4009" w:rsidRDefault="003E4009">
      <w:pPr>
        <w:pBdr>
          <w:top w:val="nil"/>
          <w:left w:val="nil"/>
          <w:bottom w:val="nil"/>
          <w:right w:val="nil"/>
          <w:between w:val="nil"/>
        </w:pBdr>
        <w:rPr>
          <w:rFonts w:ascii="Century Gothic" w:eastAsia="Century Gothic" w:hAnsi="Century Gothic" w:cs="Century Gothic"/>
          <w:b/>
          <w:bCs/>
          <w:color w:val="002060"/>
          <w:sz w:val="22"/>
          <w:szCs w:val="22"/>
        </w:rPr>
      </w:pPr>
    </w:p>
    <w:p w:rsidR="003E4009" w:rsidRDefault="003E4009">
      <w:pPr>
        <w:pBdr>
          <w:top w:val="nil"/>
          <w:left w:val="nil"/>
          <w:bottom w:val="nil"/>
          <w:right w:val="nil"/>
          <w:between w:val="nil"/>
        </w:pBdr>
      </w:pPr>
      <w:r>
        <w:rPr>
          <w:rFonts w:eastAsia="Century Gothic"/>
        </w:rPr>
        <w:fldChar w:fldCharType="begin"/>
      </w:r>
      <w:r>
        <w:rPr>
          <w:rFonts w:eastAsia="Century Gothic"/>
        </w:rPr>
        <w:instrText xml:space="preserve"> LINK </w:instrText>
      </w:r>
      <w:r w:rsidR="004362E8">
        <w:rPr>
          <w:rFonts w:eastAsia="Century Gothic"/>
        </w:rPr>
        <w:instrText xml:space="preserve">Excel.Sheet.12 "K:\\3  GOBERNACION 2025\\1 CUENTA COBOR 13 NOVIEMBRE  AL 12 DICIEMBRE 2025\\EMPRESAS INDUSTRIALES Y COMERCIALES\\2 CORPORACION SOCIAL 2 12 20225.xlsx" Hoja1!F9C6:F14C11 </w:instrText>
      </w:r>
      <w:r>
        <w:rPr>
          <w:rFonts w:eastAsia="Century Gothic"/>
        </w:rPr>
        <w:instrText xml:space="preserve">\a \f 4 \h </w:instrText>
      </w:r>
      <w:r>
        <w:rPr>
          <w:rFonts w:eastAsia="Century Gothic"/>
        </w:rPr>
        <w:fldChar w:fldCharType="separate"/>
      </w:r>
    </w:p>
    <w:tbl>
      <w:tblPr>
        <w:tblW w:w="8080" w:type="dxa"/>
        <w:tblInd w:w="-5" w:type="dxa"/>
        <w:tblCellMar>
          <w:left w:w="70" w:type="dxa"/>
          <w:right w:w="70" w:type="dxa"/>
        </w:tblCellMar>
        <w:tblLook w:val="04A0" w:firstRow="1" w:lastRow="0" w:firstColumn="1" w:lastColumn="0" w:noHBand="0" w:noVBand="1"/>
      </w:tblPr>
      <w:tblGrid>
        <w:gridCol w:w="1547"/>
        <w:gridCol w:w="1320"/>
        <w:gridCol w:w="1320"/>
        <w:gridCol w:w="1320"/>
        <w:gridCol w:w="1320"/>
        <w:gridCol w:w="1320"/>
      </w:tblGrid>
      <w:tr w:rsidR="003E4009" w:rsidRPr="003E4009" w:rsidTr="003E4009">
        <w:trPr>
          <w:trHeight w:val="285"/>
        </w:trPr>
        <w:tc>
          <w:tcPr>
            <w:tcW w:w="1480" w:type="dxa"/>
            <w:vMerge w:val="restart"/>
            <w:tcBorders>
              <w:top w:val="single" w:sz="8" w:space="0" w:color="000000"/>
              <w:left w:val="single" w:sz="8" w:space="0" w:color="000000"/>
              <w:bottom w:val="single" w:sz="8" w:space="0" w:color="000000"/>
              <w:right w:val="single" w:sz="8" w:space="0" w:color="000000"/>
            </w:tcBorders>
            <w:shd w:val="clear" w:color="000000" w:fill="4F81BD"/>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Programado 2024</w:t>
            </w:r>
          </w:p>
        </w:tc>
        <w:tc>
          <w:tcPr>
            <w:tcW w:w="1320" w:type="dxa"/>
            <w:vMerge w:val="restart"/>
            <w:tcBorders>
              <w:top w:val="single" w:sz="8" w:space="0" w:color="000000"/>
              <w:left w:val="single" w:sz="8" w:space="0" w:color="000000"/>
              <w:bottom w:val="single" w:sz="8" w:space="0" w:color="000000"/>
              <w:right w:val="single" w:sz="8" w:space="0" w:color="000000"/>
            </w:tcBorders>
            <w:shd w:val="clear" w:color="000000" w:fill="4F81BD"/>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 xml:space="preserve"> Ejecutado 2024</w:t>
            </w:r>
          </w:p>
        </w:tc>
        <w:tc>
          <w:tcPr>
            <w:tcW w:w="1320" w:type="dxa"/>
            <w:vMerge w:val="restart"/>
            <w:tcBorders>
              <w:top w:val="single" w:sz="8" w:space="0" w:color="000000"/>
              <w:left w:val="single" w:sz="8" w:space="0" w:color="000000"/>
              <w:bottom w:val="single" w:sz="8" w:space="0" w:color="000000"/>
              <w:right w:val="single" w:sz="8" w:space="0" w:color="000000"/>
            </w:tcBorders>
            <w:shd w:val="clear" w:color="000000" w:fill="4F81BD"/>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Avance  2024</w:t>
            </w:r>
          </w:p>
        </w:tc>
        <w:tc>
          <w:tcPr>
            <w:tcW w:w="1320" w:type="dxa"/>
            <w:vMerge w:val="restart"/>
            <w:tcBorders>
              <w:top w:val="single" w:sz="8" w:space="0" w:color="000000"/>
              <w:left w:val="single" w:sz="8" w:space="0" w:color="000000"/>
              <w:bottom w:val="single" w:sz="8" w:space="0" w:color="000000"/>
              <w:right w:val="single" w:sz="8" w:space="0" w:color="000000"/>
            </w:tcBorders>
            <w:shd w:val="clear" w:color="000000" w:fill="4BACC6"/>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Programado 2025</w:t>
            </w:r>
          </w:p>
        </w:tc>
        <w:tc>
          <w:tcPr>
            <w:tcW w:w="1320" w:type="dxa"/>
            <w:vMerge w:val="restart"/>
            <w:tcBorders>
              <w:top w:val="single" w:sz="8" w:space="0" w:color="000000"/>
              <w:left w:val="single" w:sz="8" w:space="0" w:color="000000"/>
              <w:bottom w:val="single" w:sz="8" w:space="0" w:color="000000"/>
              <w:right w:val="single" w:sz="8" w:space="0" w:color="000000"/>
            </w:tcBorders>
            <w:shd w:val="clear" w:color="000000" w:fill="4BACC6"/>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Ejecutado 2025</w:t>
            </w:r>
          </w:p>
        </w:tc>
        <w:tc>
          <w:tcPr>
            <w:tcW w:w="1320" w:type="dxa"/>
            <w:tcBorders>
              <w:top w:val="single" w:sz="8" w:space="0" w:color="000000"/>
              <w:left w:val="nil"/>
              <w:bottom w:val="nil"/>
              <w:right w:val="single" w:sz="8" w:space="0" w:color="000000"/>
            </w:tcBorders>
            <w:shd w:val="clear" w:color="000000" w:fill="4BACC6"/>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Avance</w:t>
            </w:r>
          </w:p>
        </w:tc>
      </w:tr>
      <w:tr w:rsidR="003E4009" w:rsidRPr="003E4009" w:rsidTr="003E4009">
        <w:trPr>
          <w:trHeight w:val="300"/>
        </w:trPr>
        <w:tc>
          <w:tcPr>
            <w:tcW w:w="1480" w:type="dxa"/>
            <w:vMerge/>
            <w:tcBorders>
              <w:top w:val="single" w:sz="8" w:space="0" w:color="000000"/>
              <w:left w:val="single" w:sz="8" w:space="0" w:color="000000"/>
              <w:bottom w:val="single" w:sz="8" w:space="0" w:color="000000"/>
              <w:right w:val="single" w:sz="8" w:space="0" w:color="000000"/>
            </w:tcBorders>
            <w:vAlign w:val="center"/>
            <w:hideMark/>
          </w:tcPr>
          <w:p w:rsidR="003E4009" w:rsidRPr="003E4009" w:rsidRDefault="003E4009" w:rsidP="003E4009">
            <w:pPr>
              <w:rPr>
                <w:rFonts w:ascii="Century Gothic" w:hAnsi="Century Gothic" w:cs="Arial"/>
                <w:b/>
                <w:bCs/>
                <w:color w:val="FFFFFF"/>
                <w:sz w:val="18"/>
                <w:szCs w:val="18"/>
              </w:rPr>
            </w:pPr>
          </w:p>
        </w:tc>
        <w:tc>
          <w:tcPr>
            <w:tcW w:w="1320" w:type="dxa"/>
            <w:vMerge/>
            <w:tcBorders>
              <w:top w:val="single" w:sz="8" w:space="0" w:color="000000"/>
              <w:left w:val="single" w:sz="8" w:space="0" w:color="000000"/>
              <w:bottom w:val="single" w:sz="8" w:space="0" w:color="000000"/>
              <w:right w:val="single" w:sz="8" w:space="0" w:color="000000"/>
            </w:tcBorders>
            <w:vAlign w:val="center"/>
            <w:hideMark/>
          </w:tcPr>
          <w:p w:rsidR="003E4009" w:rsidRPr="003E4009" w:rsidRDefault="003E4009" w:rsidP="003E4009">
            <w:pPr>
              <w:rPr>
                <w:rFonts w:ascii="Century Gothic" w:hAnsi="Century Gothic" w:cs="Arial"/>
                <w:b/>
                <w:bCs/>
                <w:color w:val="FFFFFF"/>
                <w:sz w:val="18"/>
                <w:szCs w:val="18"/>
              </w:rPr>
            </w:pPr>
          </w:p>
        </w:tc>
        <w:tc>
          <w:tcPr>
            <w:tcW w:w="1320" w:type="dxa"/>
            <w:vMerge/>
            <w:tcBorders>
              <w:top w:val="single" w:sz="8" w:space="0" w:color="000000"/>
              <w:left w:val="single" w:sz="8" w:space="0" w:color="000000"/>
              <w:bottom w:val="single" w:sz="8" w:space="0" w:color="000000"/>
              <w:right w:val="single" w:sz="8" w:space="0" w:color="000000"/>
            </w:tcBorders>
            <w:vAlign w:val="center"/>
            <w:hideMark/>
          </w:tcPr>
          <w:p w:rsidR="003E4009" w:rsidRPr="003E4009" w:rsidRDefault="003E4009" w:rsidP="003E4009">
            <w:pPr>
              <w:rPr>
                <w:rFonts w:ascii="Century Gothic" w:hAnsi="Century Gothic" w:cs="Arial"/>
                <w:b/>
                <w:bCs/>
                <w:color w:val="FFFFFF"/>
                <w:sz w:val="18"/>
                <w:szCs w:val="18"/>
              </w:rPr>
            </w:pPr>
          </w:p>
        </w:tc>
        <w:tc>
          <w:tcPr>
            <w:tcW w:w="1320" w:type="dxa"/>
            <w:vMerge/>
            <w:tcBorders>
              <w:top w:val="single" w:sz="8" w:space="0" w:color="000000"/>
              <w:left w:val="single" w:sz="8" w:space="0" w:color="000000"/>
              <w:bottom w:val="single" w:sz="8" w:space="0" w:color="000000"/>
              <w:right w:val="single" w:sz="8" w:space="0" w:color="000000"/>
            </w:tcBorders>
            <w:vAlign w:val="center"/>
            <w:hideMark/>
          </w:tcPr>
          <w:p w:rsidR="003E4009" w:rsidRPr="003E4009" w:rsidRDefault="003E4009" w:rsidP="003E4009">
            <w:pPr>
              <w:rPr>
                <w:rFonts w:ascii="Century Gothic" w:hAnsi="Century Gothic" w:cs="Arial"/>
                <w:b/>
                <w:bCs/>
                <w:color w:val="FFFFFF"/>
                <w:sz w:val="18"/>
                <w:szCs w:val="18"/>
              </w:rPr>
            </w:pPr>
          </w:p>
        </w:tc>
        <w:tc>
          <w:tcPr>
            <w:tcW w:w="1320" w:type="dxa"/>
            <w:vMerge/>
            <w:tcBorders>
              <w:top w:val="single" w:sz="8" w:space="0" w:color="000000"/>
              <w:left w:val="single" w:sz="8" w:space="0" w:color="000000"/>
              <w:bottom w:val="single" w:sz="8" w:space="0" w:color="000000"/>
              <w:right w:val="single" w:sz="8" w:space="0" w:color="000000"/>
            </w:tcBorders>
            <w:vAlign w:val="center"/>
            <w:hideMark/>
          </w:tcPr>
          <w:p w:rsidR="003E4009" w:rsidRPr="003E4009" w:rsidRDefault="003E4009" w:rsidP="003E4009">
            <w:pPr>
              <w:rPr>
                <w:rFonts w:ascii="Century Gothic" w:hAnsi="Century Gothic" w:cs="Arial"/>
                <w:b/>
                <w:bCs/>
                <w:color w:val="FFFFFF"/>
                <w:sz w:val="18"/>
                <w:szCs w:val="18"/>
              </w:rPr>
            </w:pPr>
          </w:p>
        </w:tc>
        <w:tc>
          <w:tcPr>
            <w:tcW w:w="1320" w:type="dxa"/>
            <w:tcBorders>
              <w:top w:val="nil"/>
              <w:left w:val="nil"/>
              <w:bottom w:val="single" w:sz="8" w:space="0" w:color="000000"/>
              <w:right w:val="single" w:sz="8" w:space="0" w:color="000000"/>
            </w:tcBorders>
            <w:shd w:val="clear" w:color="000000" w:fill="4BACC6"/>
            <w:vAlign w:val="center"/>
            <w:hideMark/>
          </w:tcPr>
          <w:p w:rsidR="003E4009" w:rsidRPr="003E4009" w:rsidRDefault="003E4009" w:rsidP="003E4009">
            <w:pPr>
              <w:jc w:val="center"/>
              <w:rPr>
                <w:rFonts w:ascii="Century Gothic" w:hAnsi="Century Gothic" w:cs="Arial"/>
                <w:b/>
                <w:bCs/>
                <w:color w:val="FFFFFF"/>
                <w:sz w:val="18"/>
                <w:szCs w:val="18"/>
              </w:rPr>
            </w:pPr>
            <w:r w:rsidRPr="003E4009">
              <w:rPr>
                <w:rFonts w:ascii="Century Gothic" w:hAnsi="Century Gothic" w:cs="Arial"/>
                <w:b/>
                <w:bCs/>
                <w:color w:val="FFFFFF"/>
                <w:sz w:val="18"/>
                <w:szCs w:val="18"/>
              </w:rPr>
              <w:t>2025</w:t>
            </w:r>
          </w:p>
        </w:tc>
      </w:tr>
      <w:tr w:rsidR="003E4009" w:rsidRPr="003E4009" w:rsidTr="003E4009">
        <w:trPr>
          <w:trHeight w:val="330"/>
        </w:trPr>
        <w:tc>
          <w:tcPr>
            <w:tcW w:w="1480" w:type="dxa"/>
            <w:vMerge w:val="restart"/>
            <w:tcBorders>
              <w:top w:val="nil"/>
              <w:left w:val="single" w:sz="8" w:space="0" w:color="000000"/>
              <w:bottom w:val="nil"/>
              <w:right w:val="single" w:sz="8" w:space="0" w:color="000000"/>
            </w:tcBorders>
            <w:shd w:val="clear" w:color="auto" w:fill="auto"/>
            <w:vAlign w:val="center"/>
            <w:hideMark/>
          </w:tcPr>
          <w:p w:rsidR="003E4009" w:rsidRPr="003E4009" w:rsidRDefault="003E4009" w:rsidP="003E4009">
            <w:pPr>
              <w:jc w:val="center"/>
              <w:rPr>
                <w:rFonts w:ascii="Century Gothic" w:hAnsi="Century Gothic" w:cs="Arial"/>
                <w:color w:val="002060"/>
                <w:sz w:val="22"/>
                <w:szCs w:val="22"/>
              </w:rPr>
            </w:pPr>
            <w:r w:rsidRPr="003E4009">
              <w:rPr>
                <w:rFonts w:ascii="Century Gothic" w:hAnsi="Century Gothic" w:cs="Arial"/>
                <w:color w:val="002060"/>
                <w:sz w:val="22"/>
                <w:szCs w:val="22"/>
              </w:rPr>
              <w:t>0</w:t>
            </w:r>
          </w:p>
        </w:tc>
        <w:tc>
          <w:tcPr>
            <w:tcW w:w="1320" w:type="dxa"/>
            <w:vMerge w:val="restart"/>
            <w:tcBorders>
              <w:top w:val="nil"/>
              <w:left w:val="single" w:sz="8" w:space="0" w:color="000000"/>
              <w:bottom w:val="nil"/>
              <w:right w:val="single" w:sz="8" w:space="0" w:color="000000"/>
            </w:tcBorders>
            <w:shd w:val="clear" w:color="auto" w:fill="auto"/>
            <w:noWrap/>
            <w:vAlign w:val="center"/>
            <w:hideMark/>
          </w:tcPr>
          <w:p w:rsidR="003E4009" w:rsidRPr="003E4009" w:rsidRDefault="003E4009" w:rsidP="003E4009">
            <w:pPr>
              <w:jc w:val="center"/>
              <w:rPr>
                <w:rFonts w:ascii="Century Gothic" w:hAnsi="Century Gothic" w:cs="Arial"/>
                <w:color w:val="002060"/>
                <w:sz w:val="22"/>
                <w:szCs w:val="22"/>
              </w:rPr>
            </w:pPr>
            <w:r w:rsidRPr="003E4009">
              <w:rPr>
                <w:rFonts w:ascii="Century Gothic" w:hAnsi="Century Gothic" w:cs="Arial"/>
                <w:color w:val="002060"/>
                <w:sz w:val="22"/>
                <w:szCs w:val="22"/>
              </w:rPr>
              <w:t>0</w:t>
            </w:r>
          </w:p>
        </w:tc>
        <w:tc>
          <w:tcPr>
            <w:tcW w:w="1320" w:type="dxa"/>
            <w:vMerge w:val="restart"/>
            <w:tcBorders>
              <w:top w:val="nil"/>
              <w:left w:val="single" w:sz="8" w:space="0" w:color="000000"/>
              <w:bottom w:val="nil"/>
              <w:right w:val="single" w:sz="8" w:space="0" w:color="000000"/>
            </w:tcBorders>
            <w:shd w:val="clear" w:color="auto" w:fill="auto"/>
            <w:vAlign w:val="center"/>
            <w:hideMark/>
          </w:tcPr>
          <w:p w:rsidR="003E4009" w:rsidRPr="003E4009" w:rsidRDefault="003E4009" w:rsidP="003E4009">
            <w:pPr>
              <w:jc w:val="center"/>
              <w:rPr>
                <w:rFonts w:ascii="Century Gothic" w:hAnsi="Century Gothic" w:cs="Arial"/>
                <w:color w:val="002060"/>
                <w:sz w:val="22"/>
                <w:szCs w:val="22"/>
              </w:rPr>
            </w:pPr>
            <w:r w:rsidRPr="003E4009">
              <w:rPr>
                <w:rFonts w:ascii="Century Gothic" w:hAnsi="Century Gothic" w:cs="Arial"/>
                <w:color w:val="002060"/>
                <w:sz w:val="22"/>
                <w:szCs w:val="22"/>
              </w:rPr>
              <w:t>0</w:t>
            </w:r>
          </w:p>
        </w:tc>
        <w:tc>
          <w:tcPr>
            <w:tcW w:w="1320" w:type="dxa"/>
            <w:vMerge w:val="restart"/>
            <w:tcBorders>
              <w:top w:val="nil"/>
              <w:left w:val="single" w:sz="8" w:space="0" w:color="000000"/>
              <w:bottom w:val="nil"/>
              <w:right w:val="single" w:sz="8" w:space="0" w:color="000000"/>
            </w:tcBorders>
            <w:shd w:val="clear" w:color="auto" w:fill="auto"/>
            <w:vAlign w:val="center"/>
            <w:hideMark/>
          </w:tcPr>
          <w:p w:rsidR="003E4009" w:rsidRPr="003E4009" w:rsidRDefault="003E4009" w:rsidP="003E4009">
            <w:pPr>
              <w:jc w:val="center"/>
              <w:rPr>
                <w:rFonts w:ascii="Century Gothic" w:hAnsi="Century Gothic" w:cs="Arial"/>
                <w:color w:val="002060"/>
                <w:sz w:val="22"/>
                <w:szCs w:val="22"/>
              </w:rPr>
            </w:pPr>
            <w:r w:rsidRPr="003E4009">
              <w:rPr>
                <w:rFonts w:ascii="Century Gothic" w:hAnsi="Century Gothic" w:cs="Arial"/>
                <w:color w:val="002060"/>
                <w:sz w:val="22"/>
                <w:szCs w:val="22"/>
              </w:rPr>
              <w:t>0%</w:t>
            </w:r>
          </w:p>
        </w:tc>
        <w:tc>
          <w:tcPr>
            <w:tcW w:w="1320" w:type="dxa"/>
            <w:vMerge w:val="restart"/>
            <w:tcBorders>
              <w:top w:val="nil"/>
              <w:left w:val="single" w:sz="8" w:space="0" w:color="000000"/>
              <w:bottom w:val="nil"/>
              <w:right w:val="single" w:sz="8" w:space="0" w:color="000000"/>
            </w:tcBorders>
            <w:shd w:val="clear" w:color="auto" w:fill="auto"/>
            <w:vAlign w:val="center"/>
            <w:hideMark/>
          </w:tcPr>
          <w:p w:rsidR="003E4009" w:rsidRPr="003E4009" w:rsidRDefault="003E4009" w:rsidP="003E4009">
            <w:pPr>
              <w:jc w:val="center"/>
              <w:rPr>
                <w:rFonts w:ascii="Century Gothic" w:hAnsi="Century Gothic" w:cs="Arial"/>
                <w:color w:val="002060"/>
                <w:sz w:val="22"/>
                <w:szCs w:val="22"/>
              </w:rPr>
            </w:pPr>
            <w:r w:rsidRPr="003E4009">
              <w:rPr>
                <w:rFonts w:ascii="Century Gothic" w:hAnsi="Century Gothic" w:cs="Arial"/>
                <w:color w:val="002060"/>
                <w:sz w:val="22"/>
                <w:szCs w:val="22"/>
              </w:rPr>
              <w:t>25%</w:t>
            </w:r>
          </w:p>
        </w:tc>
        <w:tc>
          <w:tcPr>
            <w:tcW w:w="1320" w:type="dxa"/>
            <w:vMerge w:val="restart"/>
            <w:tcBorders>
              <w:top w:val="nil"/>
              <w:left w:val="single" w:sz="8" w:space="0" w:color="000000"/>
              <w:bottom w:val="nil"/>
              <w:right w:val="single" w:sz="8" w:space="0" w:color="000000"/>
            </w:tcBorders>
            <w:shd w:val="clear" w:color="auto" w:fill="auto"/>
            <w:vAlign w:val="center"/>
            <w:hideMark/>
          </w:tcPr>
          <w:p w:rsidR="003E4009" w:rsidRPr="003E4009" w:rsidRDefault="003E4009" w:rsidP="003E4009">
            <w:pPr>
              <w:jc w:val="center"/>
              <w:rPr>
                <w:rFonts w:ascii="Century Gothic" w:hAnsi="Century Gothic" w:cs="Arial"/>
                <w:color w:val="002060"/>
                <w:sz w:val="22"/>
                <w:szCs w:val="22"/>
              </w:rPr>
            </w:pPr>
            <w:r w:rsidRPr="003E4009">
              <w:rPr>
                <w:rFonts w:ascii="Century Gothic" w:hAnsi="Century Gothic" w:cs="Arial"/>
                <w:color w:val="002060"/>
                <w:sz w:val="22"/>
                <w:szCs w:val="22"/>
              </w:rPr>
              <w:t>100%</w:t>
            </w:r>
          </w:p>
        </w:tc>
      </w:tr>
      <w:tr w:rsidR="003E4009" w:rsidRPr="003E4009" w:rsidTr="003E4009">
        <w:trPr>
          <w:trHeight w:val="285"/>
        </w:trPr>
        <w:tc>
          <w:tcPr>
            <w:tcW w:w="1480" w:type="dxa"/>
            <w:vMerge/>
            <w:tcBorders>
              <w:top w:val="nil"/>
              <w:left w:val="single" w:sz="8" w:space="0" w:color="000000"/>
              <w:bottom w:val="nil"/>
              <w:right w:val="single" w:sz="8" w:space="0" w:color="000000"/>
            </w:tcBorders>
            <w:vAlign w:val="center"/>
            <w:hideMark/>
          </w:tcPr>
          <w:p w:rsidR="003E4009" w:rsidRPr="003E4009" w:rsidRDefault="003E4009" w:rsidP="003E4009">
            <w:pPr>
              <w:rPr>
                <w:rFonts w:ascii="Century Gothic" w:hAnsi="Century Gothic" w:cs="Arial"/>
                <w:color w:val="002060"/>
                <w:sz w:val="22"/>
                <w:szCs w:val="22"/>
              </w:rPr>
            </w:pPr>
          </w:p>
        </w:tc>
        <w:tc>
          <w:tcPr>
            <w:tcW w:w="1320" w:type="dxa"/>
            <w:vMerge/>
            <w:tcBorders>
              <w:top w:val="nil"/>
              <w:left w:val="single" w:sz="8" w:space="0" w:color="000000"/>
              <w:bottom w:val="nil"/>
              <w:right w:val="single" w:sz="8" w:space="0" w:color="000000"/>
            </w:tcBorders>
            <w:vAlign w:val="center"/>
            <w:hideMark/>
          </w:tcPr>
          <w:p w:rsidR="003E4009" w:rsidRPr="003E4009" w:rsidRDefault="003E4009" w:rsidP="003E4009">
            <w:pPr>
              <w:rPr>
                <w:rFonts w:ascii="Century Gothic" w:hAnsi="Century Gothic" w:cs="Arial"/>
                <w:color w:val="002060"/>
                <w:sz w:val="22"/>
                <w:szCs w:val="22"/>
              </w:rPr>
            </w:pPr>
          </w:p>
        </w:tc>
        <w:tc>
          <w:tcPr>
            <w:tcW w:w="1320" w:type="dxa"/>
            <w:vMerge/>
            <w:tcBorders>
              <w:top w:val="nil"/>
              <w:left w:val="single" w:sz="8" w:space="0" w:color="000000"/>
              <w:bottom w:val="nil"/>
              <w:right w:val="single" w:sz="8" w:space="0" w:color="000000"/>
            </w:tcBorders>
            <w:vAlign w:val="center"/>
            <w:hideMark/>
          </w:tcPr>
          <w:p w:rsidR="003E4009" w:rsidRPr="003E4009" w:rsidRDefault="003E4009" w:rsidP="003E4009">
            <w:pPr>
              <w:rPr>
                <w:rFonts w:ascii="Century Gothic" w:hAnsi="Century Gothic" w:cs="Arial"/>
                <w:color w:val="002060"/>
                <w:sz w:val="22"/>
                <w:szCs w:val="22"/>
              </w:rPr>
            </w:pPr>
          </w:p>
        </w:tc>
        <w:tc>
          <w:tcPr>
            <w:tcW w:w="1320" w:type="dxa"/>
            <w:vMerge/>
            <w:tcBorders>
              <w:top w:val="nil"/>
              <w:left w:val="single" w:sz="8" w:space="0" w:color="000000"/>
              <w:bottom w:val="nil"/>
              <w:right w:val="single" w:sz="8" w:space="0" w:color="000000"/>
            </w:tcBorders>
            <w:vAlign w:val="center"/>
            <w:hideMark/>
          </w:tcPr>
          <w:p w:rsidR="003E4009" w:rsidRPr="003E4009" w:rsidRDefault="003E4009" w:rsidP="003E4009">
            <w:pPr>
              <w:rPr>
                <w:rFonts w:ascii="Century Gothic" w:hAnsi="Century Gothic" w:cs="Arial"/>
                <w:color w:val="002060"/>
                <w:sz w:val="22"/>
                <w:szCs w:val="22"/>
              </w:rPr>
            </w:pPr>
          </w:p>
        </w:tc>
        <w:tc>
          <w:tcPr>
            <w:tcW w:w="1320" w:type="dxa"/>
            <w:vMerge/>
            <w:tcBorders>
              <w:top w:val="nil"/>
              <w:left w:val="single" w:sz="8" w:space="0" w:color="000000"/>
              <w:bottom w:val="nil"/>
              <w:right w:val="single" w:sz="8" w:space="0" w:color="000000"/>
            </w:tcBorders>
            <w:vAlign w:val="center"/>
            <w:hideMark/>
          </w:tcPr>
          <w:p w:rsidR="003E4009" w:rsidRPr="003E4009" w:rsidRDefault="003E4009" w:rsidP="003E4009">
            <w:pPr>
              <w:rPr>
                <w:rFonts w:ascii="Century Gothic" w:hAnsi="Century Gothic" w:cs="Arial"/>
                <w:color w:val="002060"/>
                <w:sz w:val="22"/>
                <w:szCs w:val="22"/>
              </w:rPr>
            </w:pPr>
          </w:p>
        </w:tc>
        <w:tc>
          <w:tcPr>
            <w:tcW w:w="1320" w:type="dxa"/>
            <w:vMerge/>
            <w:tcBorders>
              <w:top w:val="nil"/>
              <w:left w:val="single" w:sz="8" w:space="0" w:color="000000"/>
              <w:bottom w:val="nil"/>
              <w:right w:val="single" w:sz="8" w:space="0" w:color="000000"/>
            </w:tcBorders>
            <w:vAlign w:val="center"/>
            <w:hideMark/>
          </w:tcPr>
          <w:p w:rsidR="003E4009" w:rsidRPr="003E4009" w:rsidRDefault="003E4009" w:rsidP="003E4009">
            <w:pPr>
              <w:rPr>
                <w:rFonts w:ascii="Century Gothic" w:hAnsi="Century Gothic" w:cs="Arial"/>
                <w:color w:val="002060"/>
                <w:sz w:val="22"/>
                <w:szCs w:val="22"/>
              </w:rPr>
            </w:pPr>
          </w:p>
        </w:tc>
      </w:tr>
      <w:tr w:rsidR="003E4009" w:rsidRPr="003E4009" w:rsidTr="003E4009">
        <w:trPr>
          <w:trHeight w:val="285"/>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1000</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1000</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100%</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2000</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1747</w:t>
            </w:r>
          </w:p>
        </w:tc>
        <w:tc>
          <w:tcPr>
            <w:tcW w:w="1320" w:type="dxa"/>
            <w:tcBorders>
              <w:top w:val="single" w:sz="4" w:space="0" w:color="auto"/>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87%</w:t>
            </w:r>
          </w:p>
        </w:tc>
      </w:tr>
      <w:tr w:rsidR="003E4009" w:rsidRPr="003E4009" w:rsidTr="003E4009">
        <w:trPr>
          <w:trHeight w:val="285"/>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1.500.000.000</w:t>
            </w:r>
          </w:p>
        </w:tc>
        <w:tc>
          <w:tcPr>
            <w:tcW w:w="1320" w:type="dxa"/>
            <w:tcBorders>
              <w:top w:val="nil"/>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0</w:t>
            </w:r>
          </w:p>
        </w:tc>
        <w:tc>
          <w:tcPr>
            <w:tcW w:w="1320" w:type="dxa"/>
            <w:tcBorders>
              <w:top w:val="nil"/>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0</w:t>
            </w:r>
          </w:p>
        </w:tc>
        <w:tc>
          <w:tcPr>
            <w:tcW w:w="1320" w:type="dxa"/>
            <w:tcBorders>
              <w:top w:val="nil"/>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0</w:t>
            </w:r>
          </w:p>
        </w:tc>
        <w:tc>
          <w:tcPr>
            <w:tcW w:w="1320" w:type="dxa"/>
            <w:tcBorders>
              <w:top w:val="nil"/>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115050751</w:t>
            </w:r>
          </w:p>
        </w:tc>
        <w:tc>
          <w:tcPr>
            <w:tcW w:w="1320" w:type="dxa"/>
            <w:tcBorders>
              <w:top w:val="nil"/>
              <w:left w:val="nil"/>
              <w:bottom w:val="single" w:sz="4" w:space="0" w:color="auto"/>
              <w:right w:val="single" w:sz="4" w:space="0" w:color="auto"/>
            </w:tcBorders>
            <w:shd w:val="clear" w:color="auto" w:fill="auto"/>
            <w:noWrap/>
            <w:vAlign w:val="center"/>
            <w:hideMark/>
          </w:tcPr>
          <w:p w:rsidR="003E4009" w:rsidRPr="003E4009" w:rsidRDefault="003E4009" w:rsidP="003E4009">
            <w:pPr>
              <w:jc w:val="center"/>
              <w:rPr>
                <w:rFonts w:ascii="Arial" w:hAnsi="Arial" w:cs="Arial"/>
                <w:color w:val="002060"/>
                <w:sz w:val="22"/>
                <w:szCs w:val="22"/>
              </w:rPr>
            </w:pPr>
            <w:r w:rsidRPr="003E4009">
              <w:rPr>
                <w:rFonts w:ascii="Arial" w:hAnsi="Arial" w:cs="Arial"/>
                <w:color w:val="002060"/>
                <w:sz w:val="22"/>
                <w:szCs w:val="22"/>
              </w:rPr>
              <w:t>8%</w:t>
            </w:r>
          </w:p>
        </w:tc>
      </w:tr>
    </w:tbl>
    <w:p w:rsidR="003E4009" w:rsidRDefault="003E4009">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fldChar w:fldCharType="end"/>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D33F17" w:rsidRDefault="00D33F17">
      <w:pPr>
        <w:pBdr>
          <w:top w:val="nil"/>
          <w:left w:val="nil"/>
          <w:bottom w:val="nil"/>
          <w:right w:val="nil"/>
          <w:between w:val="nil"/>
        </w:pBdr>
        <w:rPr>
          <w:rFonts w:ascii="Quattrocento Sans" w:eastAsia="Quattrocento Sans" w:hAnsi="Quattrocento Sans" w:cs="Quattrocento Sans"/>
          <w:b/>
          <w:bCs/>
          <w:color w:val="000000"/>
          <w:sz w:val="24"/>
          <w:szCs w:val="24"/>
        </w:rPr>
      </w:pPr>
    </w:p>
    <w:p w:rsidR="0066727F" w:rsidRDefault="0066727F" w:rsidP="0066727F">
      <w:pPr>
        <w:pStyle w:val="NormalWeb"/>
      </w:pPr>
      <w:r>
        <w:rPr>
          <w:rFonts w:hAnsi="Symbol"/>
        </w:rPr>
        <w:lastRenderedPageBreak/>
        <w:t></w:t>
      </w:r>
      <w:r>
        <w:t xml:space="preserve">  </w:t>
      </w:r>
      <w:r>
        <w:rPr>
          <w:rStyle w:val="Textoennegrita"/>
        </w:rPr>
        <w:t>Avance acumulado general:</w:t>
      </w:r>
      <w:r>
        <w:t xml:space="preserve"> </w:t>
      </w:r>
      <w:r>
        <w:rPr>
          <w:rStyle w:val="Textoennegrita"/>
        </w:rPr>
        <w:t>49%</w:t>
      </w:r>
    </w:p>
    <w:p w:rsidR="0066727F" w:rsidRDefault="0066727F" w:rsidP="0066727F">
      <w:pPr>
        <w:pStyle w:val="NormalWeb"/>
      </w:pPr>
      <w:r>
        <w:rPr>
          <w:rFonts w:hAnsi="Symbol"/>
        </w:rPr>
        <w:t></w:t>
      </w:r>
      <w:r>
        <w:t xml:space="preserve">  </w:t>
      </w:r>
      <w:r>
        <w:rPr>
          <w:rStyle w:val="Textoennegrita"/>
        </w:rPr>
        <w:t>Avance físico acumulado:</w:t>
      </w:r>
    </w:p>
    <w:p w:rsidR="0066727F" w:rsidRPr="0066727F" w:rsidRDefault="0066727F" w:rsidP="0066727F">
      <w:pPr>
        <w:pStyle w:val="NormalWeb"/>
        <w:numPr>
          <w:ilvl w:val="0"/>
          <w:numId w:val="13"/>
        </w:numPr>
        <w:rPr>
          <w:color w:val="002060"/>
        </w:rPr>
      </w:pPr>
      <w:r w:rsidRPr="0066727F">
        <w:rPr>
          <w:rStyle w:val="nfasis"/>
          <w:color w:val="002060"/>
        </w:rPr>
        <w:t>Tecnología Rama Judicial:</w:t>
      </w:r>
      <w:r w:rsidRPr="0066727F">
        <w:rPr>
          <w:color w:val="002060"/>
        </w:rPr>
        <w:t xml:space="preserve"> 100%</w:t>
      </w:r>
    </w:p>
    <w:p w:rsidR="0066727F" w:rsidRPr="0066727F" w:rsidRDefault="0066727F" w:rsidP="0066727F">
      <w:pPr>
        <w:pStyle w:val="NormalWeb"/>
        <w:numPr>
          <w:ilvl w:val="0"/>
          <w:numId w:val="13"/>
        </w:numPr>
        <w:rPr>
          <w:color w:val="002060"/>
        </w:rPr>
      </w:pPr>
      <w:r w:rsidRPr="0066727F">
        <w:rPr>
          <w:rStyle w:val="nfasis"/>
          <w:color w:val="002060"/>
        </w:rPr>
        <w:t>Actualización de BD:</w:t>
      </w:r>
      <w:r w:rsidRPr="0066727F">
        <w:rPr>
          <w:color w:val="002060"/>
        </w:rPr>
        <w:t xml:space="preserve"> 93.5%</w:t>
      </w:r>
    </w:p>
    <w:p w:rsidR="0066727F" w:rsidRPr="0066727F" w:rsidRDefault="0066727F" w:rsidP="0066727F">
      <w:pPr>
        <w:pStyle w:val="NormalWeb"/>
        <w:numPr>
          <w:ilvl w:val="0"/>
          <w:numId w:val="13"/>
        </w:numPr>
        <w:rPr>
          <w:color w:val="002060"/>
        </w:rPr>
      </w:pPr>
      <w:r w:rsidRPr="0066727F">
        <w:rPr>
          <w:rStyle w:val="nfasis"/>
          <w:color w:val="002060"/>
        </w:rPr>
        <w:t>Fortalecimiento financiero:</w:t>
      </w:r>
      <w:r w:rsidRPr="0066727F">
        <w:rPr>
          <w:color w:val="002060"/>
        </w:rPr>
        <w:t xml:space="preserve"> 8%</w:t>
      </w:r>
    </w:p>
    <w:p w:rsidR="00D33F17" w:rsidRPr="00A832FD" w:rsidRDefault="00D33F17" w:rsidP="00A832FD">
      <w:pPr>
        <w:pBdr>
          <w:top w:val="nil"/>
          <w:left w:val="nil"/>
          <w:bottom w:val="nil"/>
          <w:right w:val="nil"/>
          <w:between w:val="nil"/>
        </w:pBdr>
        <w:rPr>
          <w:rFonts w:ascii="Quattrocento Sans" w:eastAsia="Quattrocento Sans" w:hAnsi="Quattrocento Sans" w:cs="Quattrocento Sans"/>
          <w:color w:val="000000"/>
          <w:sz w:val="24"/>
          <w:szCs w:val="24"/>
        </w:rPr>
      </w:pPr>
    </w:p>
    <w:p w:rsidR="00D33F17" w:rsidRDefault="00080EDA">
      <w:pPr>
        <w:pBdr>
          <w:top w:val="nil"/>
          <w:left w:val="nil"/>
          <w:bottom w:val="nil"/>
          <w:right w:val="nil"/>
          <w:between w:val="nil"/>
        </w:pBdr>
        <w:rPr>
          <w:rFonts w:ascii="Quattrocento Sans" w:eastAsia="Quattrocento Sans" w:hAnsi="Quattrocento Sans" w:cs="Quattrocento Sans"/>
          <w:color w:val="000000"/>
          <w:sz w:val="24"/>
          <w:szCs w:val="24"/>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La CSC avanza de manera sostenida en su proceso de modernización tecnológica, fortaleciendo la trazabilidad, eficiencia y transparencia en la gestión institucional.</w:t>
      </w:r>
    </w:p>
    <w:p w:rsidR="00D33F17" w:rsidRDefault="00A832FD">
      <w:pPr>
        <w:pStyle w:val="Ttulo3"/>
        <w:rPr>
          <w:rFonts w:ascii="Century Gothic" w:eastAsia="Century Gothic" w:hAnsi="Century Gothic" w:cs="Century Gothic"/>
          <w:color w:val="0070C0"/>
          <w:sz w:val="24"/>
          <w:szCs w:val="24"/>
        </w:rPr>
      </w:pPr>
      <w:r>
        <w:rPr>
          <w:rFonts w:ascii="Century Gothic" w:eastAsia="Century Gothic" w:hAnsi="Century Gothic" w:cs="Century Gothic"/>
          <w:color w:val="0070C0"/>
          <w:sz w:val="24"/>
          <w:szCs w:val="24"/>
        </w:rPr>
        <w:t>Adelantar la reorganización administrativa a fin de la creación de áreas tales como Talento humano, Planeación, Sistemas, así como fortalecer las áreas: jurídica Contabilidad y Presupuestos, Archivo, Cartera, Crédito entre otras .</w:t>
      </w:r>
    </w:p>
    <w:p w:rsidR="00D33F17" w:rsidRDefault="00D33F17"/>
    <w:p w:rsidR="00D33F17" w:rsidRDefault="00080EDA">
      <w:pPr>
        <w:pBdr>
          <w:top w:val="nil"/>
          <w:left w:val="nil"/>
          <w:bottom w:val="nil"/>
          <w:right w:val="nil"/>
          <w:between w:val="nil"/>
        </w:pBdr>
        <w:rPr>
          <w:rFonts w:ascii="Quattrocento Sans" w:eastAsia="Quattrocento Sans" w:hAnsi="Quattrocento Sans" w:cs="Quattrocento Sans"/>
          <w:color w:val="000000"/>
          <w:sz w:val="23"/>
          <w:szCs w:val="23"/>
        </w:rPr>
      </w:pPr>
      <w:r>
        <w:rPr>
          <w:rFonts w:ascii="Century Gothic" w:eastAsia="Century Gothic" w:hAnsi="Century Gothic" w:cs="Century Gothic"/>
          <w:b/>
          <w:bCs/>
          <w:color w:val="002060"/>
          <w:sz w:val="22"/>
          <w:szCs w:val="22"/>
        </w:rPr>
        <w:t>Reto:</w:t>
      </w:r>
      <w:r>
        <w:rPr>
          <w:rFonts w:ascii="Century Gothic" w:eastAsia="Century Gothic" w:hAnsi="Century Gothic" w:cs="Century Gothic"/>
          <w:color w:val="002060"/>
          <w:sz w:val="22"/>
          <w:szCs w:val="22"/>
        </w:rPr>
        <w:t xml:space="preserve"> Desarrollar acciones con el fin de fortalecer el área tecnológica y digital de la Entidad, para optimizar los servicios prestados, mejorando el posicionamiento institucional y generar accesibilidad al usuario.</w:t>
      </w:r>
      <w:r>
        <w:rPr>
          <w:rFonts w:ascii="Quattrocento Sans" w:eastAsia="Quattrocento Sans" w:hAnsi="Quattrocento Sans" w:cs="Quattrocento Sans"/>
          <w:color w:val="000000"/>
          <w:sz w:val="23"/>
          <w:szCs w:val="23"/>
        </w:rPr>
        <w:t xml:space="preserve"> </w:t>
      </w:r>
    </w:p>
    <w:p w:rsidR="00D33F17" w:rsidRDefault="00D33F17">
      <w:pPr>
        <w:pBdr>
          <w:top w:val="nil"/>
          <w:left w:val="nil"/>
          <w:bottom w:val="nil"/>
          <w:right w:val="nil"/>
          <w:between w:val="nil"/>
        </w:pBdr>
        <w:rPr>
          <w:rFonts w:ascii="Calibri" w:eastAsia="Calibri" w:hAnsi="Calibri" w:cs="Calibri"/>
          <w:color w:val="000000"/>
          <w:sz w:val="23"/>
          <w:szCs w:val="23"/>
        </w:rPr>
      </w:pPr>
    </w:p>
    <w:p w:rsidR="00D33F17" w:rsidRPr="00590158" w:rsidRDefault="00080EDA" w:rsidP="00590158">
      <w:pPr>
        <w:pBdr>
          <w:top w:val="nil"/>
          <w:left w:val="nil"/>
          <w:bottom w:val="nil"/>
          <w:right w:val="nil"/>
          <w:between w:val="nil"/>
        </w:pBdr>
        <w:rPr>
          <w:rFonts w:ascii="Century Gothic" w:eastAsia="Century Gothic" w:hAnsi="Century Gothic" w:cs="Century Gothic"/>
          <w:sz w:val="22"/>
          <w:szCs w:val="22"/>
        </w:rPr>
      </w:pPr>
      <w:r>
        <w:rPr>
          <w:rFonts w:ascii="Century Gothic" w:eastAsia="Century Gothic" w:hAnsi="Century Gothic" w:cs="Century Gothic"/>
          <w:b/>
          <w:bCs/>
          <w:color w:val="002060"/>
          <w:sz w:val="22"/>
          <w:szCs w:val="22"/>
        </w:rPr>
        <w:t>Actividad:</w:t>
      </w:r>
      <w:r w:rsidR="00590158" w:rsidRPr="00590158">
        <w:rPr>
          <w:rFonts w:ascii="Century Gothic" w:eastAsia="Century Gothic" w:hAnsi="Century Gothic" w:cs="Century Gothic"/>
          <w:color w:val="0070C0"/>
          <w:sz w:val="24"/>
          <w:szCs w:val="24"/>
        </w:rPr>
        <w:t xml:space="preserve"> </w:t>
      </w:r>
      <w:r w:rsidR="00590158" w:rsidRPr="00590158">
        <w:rPr>
          <w:rFonts w:ascii="Century Gothic" w:eastAsia="Century Gothic" w:hAnsi="Century Gothic" w:cs="Century Gothic"/>
          <w:sz w:val="24"/>
          <w:szCs w:val="24"/>
        </w:rPr>
        <w:t>Adelantar la reorganización administrativa</w:t>
      </w:r>
      <w:r w:rsidR="0088015B">
        <w:rPr>
          <w:rFonts w:ascii="Century Gothic" w:eastAsia="Century Gothic" w:hAnsi="Century Gothic" w:cs="Century Gothic"/>
          <w:sz w:val="24"/>
          <w:szCs w:val="24"/>
        </w:rPr>
        <w:t>s</w:t>
      </w:r>
      <w:r w:rsidR="00590158" w:rsidRPr="00590158">
        <w:rPr>
          <w:rFonts w:ascii="Century Gothic" w:eastAsia="Century Gothic" w:hAnsi="Century Gothic" w:cs="Century Gothic"/>
          <w:sz w:val="24"/>
          <w:szCs w:val="24"/>
        </w:rPr>
        <w:t>.</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tbl>
      <w:tblPr>
        <w:tblStyle w:val="affffff6"/>
        <w:tblW w:w="8221" w:type="dxa"/>
        <w:jc w:val="center"/>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00" w:firstRow="0" w:lastRow="0" w:firstColumn="0" w:lastColumn="0" w:noHBand="0" w:noVBand="1"/>
      </w:tblPr>
      <w:tblGrid>
        <w:gridCol w:w="1417"/>
        <w:gridCol w:w="1276"/>
        <w:gridCol w:w="1276"/>
        <w:gridCol w:w="1418"/>
        <w:gridCol w:w="1417"/>
        <w:gridCol w:w="1417"/>
      </w:tblGrid>
      <w:tr w:rsidR="00D33F17">
        <w:trPr>
          <w:tblHeader/>
          <w:jc w:val="center"/>
        </w:trPr>
        <w:tc>
          <w:tcPr>
            <w:tcW w:w="1417" w:type="dxa"/>
            <w:shd w:val="clear" w:color="auto" w:fill="4F81BD"/>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color w:val="FFFFFF"/>
                <w:sz w:val="18"/>
                <w:szCs w:val="18"/>
              </w:rPr>
            </w:pPr>
            <w:r>
              <w:rPr>
                <w:rFonts w:ascii="Century Gothic" w:eastAsia="Century Gothic" w:hAnsi="Century Gothic" w:cs="Century Gothic"/>
                <w:b/>
                <w:bCs/>
                <w:color w:val="FFFFFF"/>
                <w:sz w:val="18"/>
                <w:szCs w:val="18"/>
              </w:rPr>
              <w:t>Programado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2024</w:t>
            </w:r>
          </w:p>
        </w:tc>
        <w:tc>
          <w:tcPr>
            <w:tcW w:w="1276" w:type="dxa"/>
            <w:shd w:val="clear" w:color="auto" w:fill="4F81BD"/>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 2024</w:t>
            </w:r>
          </w:p>
        </w:tc>
        <w:tc>
          <w:tcPr>
            <w:tcW w:w="1418"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Programado 2025</w:t>
            </w:r>
          </w:p>
        </w:tc>
        <w:tc>
          <w:tcPr>
            <w:tcW w:w="1417" w:type="dxa"/>
            <w:shd w:val="clear" w:color="auto" w:fill="4BACC6"/>
            <w:tcMar>
              <w:top w:w="100" w:type="dxa"/>
              <w:left w:w="100" w:type="dxa"/>
              <w:bottom w:w="100" w:type="dxa"/>
              <w:right w:w="100" w:type="dxa"/>
            </w:tcMar>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Ejecutado 2025</w:t>
            </w:r>
          </w:p>
        </w:tc>
        <w:tc>
          <w:tcPr>
            <w:tcW w:w="1417" w:type="dxa"/>
            <w:shd w:val="clear" w:color="auto" w:fill="4BACC6"/>
            <w:vAlign w:val="center"/>
          </w:tcPr>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Avance</w:t>
            </w:r>
          </w:p>
          <w:p w:rsidR="00D33F17" w:rsidRDefault="00080EDA">
            <w:pPr>
              <w:widowControl w:val="0"/>
              <w:jc w:val="center"/>
              <w:rPr>
                <w:rFonts w:ascii="Century Gothic" w:eastAsia="Century Gothic" w:hAnsi="Century Gothic" w:cs="Century Gothic"/>
                <w:b/>
                <w:bCs/>
                <w:color w:val="FFFFFF"/>
                <w:sz w:val="18"/>
                <w:szCs w:val="18"/>
              </w:rPr>
            </w:pPr>
            <w:r>
              <w:rPr>
                <w:rFonts w:ascii="Century Gothic" w:eastAsia="Century Gothic" w:hAnsi="Century Gothic" w:cs="Century Gothic"/>
                <w:b/>
                <w:bCs/>
                <w:color w:val="FFFFFF"/>
                <w:sz w:val="18"/>
                <w:szCs w:val="18"/>
              </w:rPr>
              <w:t>2025</w:t>
            </w:r>
          </w:p>
        </w:tc>
      </w:tr>
      <w:tr w:rsidR="00D33F17">
        <w:trPr>
          <w:trHeight w:val="482"/>
          <w:jc w:val="center"/>
        </w:trPr>
        <w:tc>
          <w:tcPr>
            <w:tcW w:w="1417" w:type="dxa"/>
            <w:tcMar>
              <w:top w:w="100" w:type="dxa"/>
              <w:left w:w="100" w:type="dxa"/>
              <w:bottom w:w="100" w:type="dxa"/>
              <w:right w:w="100" w:type="dxa"/>
            </w:tcMar>
            <w:vAlign w:val="center"/>
          </w:tcPr>
          <w:p w:rsidR="00D33F17" w:rsidRDefault="000127F5">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20%</w:t>
            </w:r>
          </w:p>
        </w:tc>
        <w:tc>
          <w:tcPr>
            <w:tcW w:w="1276" w:type="dxa"/>
            <w:vAlign w:val="center"/>
          </w:tcPr>
          <w:p w:rsidR="00D33F17" w:rsidRDefault="000127F5">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20%</w:t>
            </w:r>
          </w:p>
        </w:tc>
        <w:tc>
          <w:tcPr>
            <w:tcW w:w="1276" w:type="dxa"/>
            <w:vAlign w:val="center"/>
          </w:tcPr>
          <w:p w:rsidR="00D33F17" w:rsidRDefault="000127F5">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c>
          <w:tcPr>
            <w:tcW w:w="1418" w:type="dxa"/>
            <w:tcMar>
              <w:top w:w="100" w:type="dxa"/>
              <w:left w:w="100" w:type="dxa"/>
              <w:bottom w:w="100" w:type="dxa"/>
              <w:right w:w="100" w:type="dxa"/>
            </w:tcMar>
            <w:vAlign w:val="center"/>
          </w:tcPr>
          <w:p w:rsidR="00D33F17" w:rsidRDefault="000127F5">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20%</w:t>
            </w:r>
          </w:p>
        </w:tc>
        <w:tc>
          <w:tcPr>
            <w:tcW w:w="1417" w:type="dxa"/>
            <w:tcMar>
              <w:top w:w="100" w:type="dxa"/>
              <w:left w:w="100" w:type="dxa"/>
              <w:bottom w:w="100" w:type="dxa"/>
              <w:right w:w="100" w:type="dxa"/>
            </w:tcMar>
            <w:vAlign w:val="center"/>
          </w:tcPr>
          <w:p w:rsidR="00D33F17" w:rsidRDefault="000127F5">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20%</w:t>
            </w:r>
          </w:p>
        </w:tc>
        <w:tc>
          <w:tcPr>
            <w:tcW w:w="1417" w:type="dxa"/>
            <w:vAlign w:val="center"/>
          </w:tcPr>
          <w:p w:rsidR="00D33F17" w:rsidRDefault="000127F5">
            <w:pPr>
              <w:widowControl w:val="0"/>
              <w:jc w:val="cente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100%</w:t>
            </w:r>
          </w:p>
        </w:tc>
      </w:tr>
      <w:tr w:rsidR="00466E30">
        <w:trPr>
          <w:trHeight w:val="482"/>
          <w:jc w:val="center"/>
        </w:trPr>
        <w:tc>
          <w:tcPr>
            <w:tcW w:w="1417" w:type="dxa"/>
            <w:tcMar>
              <w:top w:w="100" w:type="dxa"/>
              <w:left w:w="100" w:type="dxa"/>
              <w:bottom w:w="100" w:type="dxa"/>
              <w:right w:w="100" w:type="dxa"/>
            </w:tcMar>
            <w:vAlign w:val="center"/>
          </w:tcPr>
          <w:p w:rsidR="00466E30" w:rsidRDefault="00466E30" w:rsidP="00590158">
            <w:pPr>
              <w:widowControl w:val="0"/>
              <w:rPr>
                <w:rFonts w:ascii="Century Gothic" w:eastAsia="Century Gothic" w:hAnsi="Century Gothic" w:cs="Century Gothic"/>
                <w:color w:val="002060"/>
                <w:sz w:val="22"/>
                <w:szCs w:val="22"/>
              </w:rPr>
            </w:pPr>
          </w:p>
        </w:tc>
        <w:tc>
          <w:tcPr>
            <w:tcW w:w="1276" w:type="dxa"/>
            <w:vAlign w:val="center"/>
          </w:tcPr>
          <w:p w:rsidR="00466E30" w:rsidRDefault="00466E30">
            <w:pPr>
              <w:widowControl w:val="0"/>
              <w:jc w:val="center"/>
              <w:rPr>
                <w:rFonts w:ascii="Century Gothic" w:eastAsia="Century Gothic" w:hAnsi="Century Gothic" w:cs="Century Gothic"/>
                <w:color w:val="002060"/>
                <w:sz w:val="22"/>
                <w:szCs w:val="22"/>
              </w:rPr>
            </w:pPr>
          </w:p>
        </w:tc>
        <w:tc>
          <w:tcPr>
            <w:tcW w:w="1276" w:type="dxa"/>
            <w:vAlign w:val="center"/>
          </w:tcPr>
          <w:p w:rsidR="00466E30" w:rsidRDefault="00466E30">
            <w:pPr>
              <w:widowControl w:val="0"/>
              <w:jc w:val="center"/>
              <w:rPr>
                <w:rFonts w:ascii="Century Gothic" w:eastAsia="Century Gothic" w:hAnsi="Century Gothic" w:cs="Century Gothic"/>
                <w:color w:val="002060"/>
                <w:sz w:val="22"/>
                <w:szCs w:val="22"/>
              </w:rPr>
            </w:pPr>
          </w:p>
        </w:tc>
        <w:tc>
          <w:tcPr>
            <w:tcW w:w="1418" w:type="dxa"/>
            <w:tcMar>
              <w:top w:w="100" w:type="dxa"/>
              <w:left w:w="100" w:type="dxa"/>
              <w:bottom w:w="100" w:type="dxa"/>
              <w:right w:w="100" w:type="dxa"/>
            </w:tcMar>
            <w:vAlign w:val="center"/>
          </w:tcPr>
          <w:p w:rsidR="00466E30" w:rsidRDefault="00466E30">
            <w:pPr>
              <w:widowControl w:val="0"/>
              <w:jc w:val="center"/>
              <w:rPr>
                <w:rFonts w:ascii="Century Gothic" w:eastAsia="Century Gothic" w:hAnsi="Century Gothic" w:cs="Century Gothic"/>
                <w:color w:val="002060"/>
                <w:sz w:val="22"/>
                <w:szCs w:val="22"/>
              </w:rPr>
            </w:pPr>
          </w:p>
        </w:tc>
        <w:tc>
          <w:tcPr>
            <w:tcW w:w="1417" w:type="dxa"/>
            <w:tcMar>
              <w:top w:w="100" w:type="dxa"/>
              <w:left w:w="100" w:type="dxa"/>
              <w:bottom w:w="100" w:type="dxa"/>
              <w:right w:w="100" w:type="dxa"/>
            </w:tcMar>
            <w:vAlign w:val="center"/>
          </w:tcPr>
          <w:p w:rsidR="00466E30" w:rsidRDefault="00466E30">
            <w:pPr>
              <w:widowControl w:val="0"/>
              <w:jc w:val="center"/>
              <w:rPr>
                <w:rFonts w:ascii="Century Gothic" w:eastAsia="Century Gothic" w:hAnsi="Century Gothic" w:cs="Century Gothic"/>
                <w:color w:val="002060"/>
                <w:sz w:val="22"/>
                <w:szCs w:val="22"/>
              </w:rPr>
            </w:pPr>
          </w:p>
        </w:tc>
        <w:tc>
          <w:tcPr>
            <w:tcW w:w="1417" w:type="dxa"/>
            <w:vAlign w:val="center"/>
          </w:tcPr>
          <w:p w:rsidR="00466E30" w:rsidRDefault="00466E30" w:rsidP="00590158">
            <w:pPr>
              <w:widowControl w:val="0"/>
              <w:rPr>
                <w:rFonts w:ascii="Century Gothic" w:eastAsia="Century Gothic" w:hAnsi="Century Gothic" w:cs="Century Gothic"/>
                <w:color w:val="002060"/>
                <w:sz w:val="22"/>
                <w:szCs w:val="22"/>
              </w:rPr>
            </w:pPr>
          </w:p>
        </w:tc>
      </w:tr>
    </w:tbl>
    <w:p w:rsidR="00D33F17" w:rsidRDefault="00D33F17">
      <w:pPr>
        <w:pBdr>
          <w:top w:val="nil"/>
          <w:left w:val="nil"/>
          <w:bottom w:val="nil"/>
          <w:right w:val="nil"/>
          <w:between w:val="nil"/>
        </w:pBdr>
        <w:rPr>
          <w:rFonts w:ascii="Quattrocento Sans" w:eastAsia="Quattrocento Sans" w:hAnsi="Quattrocento Sans" w:cs="Quattrocento Sans"/>
          <w:b/>
          <w:bCs/>
          <w:color w:val="000000"/>
          <w:sz w:val="24"/>
          <w:szCs w:val="24"/>
        </w:rPr>
      </w:pPr>
    </w:p>
    <w:p w:rsidR="00D33F17" w:rsidRDefault="00D33F17">
      <w:pPr>
        <w:pBdr>
          <w:top w:val="nil"/>
          <w:left w:val="nil"/>
          <w:bottom w:val="nil"/>
          <w:right w:val="nil"/>
          <w:between w:val="nil"/>
        </w:pBdr>
        <w:rPr>
          <w:rFonts w:ascii="Quattrocento Sans" w:eastAsia="Quattrocento Sans" w:hAnsi="Quattrocento Sans" w:cs="Quattrocento Sans"/>
          <w:color w:val="000000"/>
          <w:sz w:val="23"/>
          <w:szCs w:val="23"/>
        </w:rPr>
      </w:pPr>
    </w:p>
    <w:p w:rsidR="00D33F17" w:rsidRDefault="00D33F17">
      <w:pPr>
        <w:pBdr>
          <w:top w:val="nil"/>
          <w:left w:val="nil"/>
          <w:bottom w:val="nil"/>
          <w:right w:val="nil"/>
          <w:between w:val="nil"/>
        </w:pBdr>
        <w:rPr>
          <w:rFonts w:ascii="Quattrocento Sans" w:eastAsia="Quattrocento Sans" w:hAnsi="Quattrocento Sans" w:cs="Quattrocento Sans"/>
          <w:color w:val="000000"/>
          <w:sz w:val="23"/>
          <w:szCs w:val="23"/>
        </w:rPr>
      </w:pP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Avance acumulado:</w:t>
      </w:r>
      <w:r>
        <w:rPr>
          <w:rFonts w:ascii="Century Gothic" w:eastAsia="Century Gothic" w:hAnsi="Century Gothic" w:cs="Century Gothic"/>
          <w:color w:val="002060"/>
          <w:sz w:val="22"/>
          <w:szCs w:val="22"/>
        </w:rPr>
        <w:t> </w:t>
      </w:r>
      <w:r w:rsidR="0088015B">
        <w:rPr>
          <w:rFonts w:ascii="Century Gothic" w:eastAsia="Century Gothic" w:hAnsi="Century Gothic" w:cs="Century Gothic"/>
          <w:color w:val="002060"/>
          <w:sz w:val="22"/>
          <w:szCs w:val="22"/>
        </w:rPr>
        <w:t>40%</w:t>
      </w:r>
    </w:p>
    <w:p w:rsidR="00D33F17" w:rsidRDefault="00080EDA">
      <w:pPr>
        <w:numPr>
          <w:ilvl w:val="0"/>
          <w:numId w:val="9"/>
        </w:numPr>
        <w:pBdr>
          <w:top w:val="nil"/>
          <w:left w:val="nil"/>
          <w:bottom w:val="nil"/>
          <w:right w:val="nil"/>
          <w:between w:val="nil"/>
        </w:pBdr>
        <w:shd w:val="clear" w:color="auto" w:fill="FFFFFF"/>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t xml:space="preserve">Avance físico acumulado: </w:t>
      </w:r>
      <w:r w:rsidR="0088015B">
        <w:rPr>
          <w:rFonts w:ascii="Century Gothic" w:eastAsia="Century Gothic" w:hAnsi="Century Gothic" w:cs="Century Gothic"/>
          <w:b/>
          <w:bCs/>
          <w:color w:val="002060"/>
          <w:sz w:val="22"/>
          <w:szCs w:val="22"/>
        </w:rPr>
        <w:t>100%</w:t>
      </w:r>
    </w:p>
    <w:p w:rsidR="00D33F17" w:rsidRDefault="00D33F17">
      <w:pPr>
        <w:pBdr>
          <w:top w:val="nil"/>
          <w:left w:val="nil"/>
          <w:bottom w:val="nil"/>
          <w:right w:val="nil"/>
          <w:between w:val="nil"/>
        </w:pBdr>
        <w:shd w:val="clear" w:color="auto" w:fill="FFFFFF"/>
        <w:ind w:left="720"/>
        <w:jc w:val="both"/>
        <w:rPr>
          <w:rFonts w:ascii="Century Gothic" w:eastAsia="Century Gothic" w:hAnsi="Century Gothic" w:cs="Century Gothic"/>
          <w:b/>
          <w:bCs/>
          <w:color w:val="002060"/>
          <w:sz w:val="22"/>
          <w:szCs w:val="22"/>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b/>
          <w:bCs/>
          <w:color w:val="002060"/>
          <w:sz w:val="22"/>
          <w:szCs w:val="22"/>
        </w:rPr>
        <w:t>¿Qué se ha hecho?:</w:t>
      </w:r>
      <w:r>
        <w:rPr>
          <w:rFonts w:ascii="Century Gothic" w:eastAsia="Century Gothic" w:hAnsi="Century Gothic" w:cs="Century Gothic"/>
          <w:color w:val="002060"/>
          <w:sz w:val="22"/>
          <w:szCs w:val="22"/>
        </w:rPr>
        <w:t> La entidad avanza en la transformación administrativa y financiera, consolidando un modelo organizacional moderno y alineado con los objetivos del Plan de Desarrollo Departamental.</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66727F" w:rsidRDefault="0066727F">
      <w:pPr>
        <w:spacing w:line="276" w:lineRule="auto"/>
        <w:jc w:val="both"/>
        <w:rPr>
          <w:rFonts w:ascii="Century Gothic" w:eastAsia="Century Gothic" w:hAnsi="Century Gothic" w:cs="Century Gothic"/>
          <w:b/>
          <w:bCs/>
          <w:color w:val="002060"/>
          <w:sz w:val="22"/>
          <w:szCs w:val="22"/>
        </w:rPr>
      </w:pPr>
    </w:p>
    <w:p w:rsidR="0066727F" w:rsidRDefault="0066727F">
      <w:pPr>
        <w:spacing w:line="276" w:lineRule="auto"/>
        <w:jc w:val="both"/>
        <w:rPr>
          <w:rFonts w:ascii="Century Gothic" w:eastAsia="Century Gothic" w:hAnsi="Century Gothic" w:cs="Century Gothic"/>
          <w:b/>
          <w:bCs/>
          <w:color w:val="002060"/>
          <w:sz w:val="22"/>
          <w:szCs w:val="22"/>
        </w:rPr>
      </w:pPr>
    </w:p>
    <w:p w:rsidR="0066727F" w:rsidRDefault="0066727F">
      <w:pPr>
        <w:spacing w:line="276" w:lineRule="auto"/>
        <w:jc w:val="both"/>
        <w:rPr>
          <w:rFonts w:ascii="Century Gothic" w:eastAsia="Century Gothic" w:hAnsi="Century Gothic" w:cs="Century Gothic"/>
          <w:b/>
          <w:bCs/>
          <w:color w:val="002060"/>
          <w:sz w:val="22"/>
          <w:szCs w:val="22"/>
        </w:rPr>
      </w:pPr>
    </w:p>
    <w:p w:rsidR="00D33F17" w:rsidRDefault="00080EDA">
      <w:pPr>
        <w:spacing w:line="276" w:lineRule="auto"/>
        <w:jc w:val="both"/>
        <w:rPr>
          <w:rFonts w:ascii="Century Gothic" w:eastAsia="Century Gothic" w:hAnsi="Century Gothic" w:cs="Century Gothic"/>
          <w:b/>
          <w:bCs/>
          <w:color w:val="002060"/>
          <w:sz w:val="22"/>
          <w:szCs w:val="22"/>
        </w:rPr>
      </w:pPr>
      <w:r>
        <w:rPr>
          <w:rFonts w:ascii="Century Gothic" w:eastAsia="Century Gothic" w:hAnsi="Century Gothic" w:cs="Century Gothic"/>
          <w:b/>
          <w:bCs/>
          <w:color w:val="002060"/>
          <w:sz w:val="22"/>
          <w:szCs w:val="22"/>
        </w:rPr>
        <w:lastRenderedPageBreak/>
        <w:t>Análisis del avance frente al Plan de acción CSC</w:t>
      </w:r>
    </w:p>
    <w:p w:rsidR="00D33F17" w:rsidRDefault="00D33F17">
      <w:pPr>
        <w:pBdr>
          <w:top w:val="nil"/>
          <w:left w:val="nil"/>
          <w:bottom w:val="nil"/>
          <w:right w:val="nil"/>
          <w:between w:val="nil"/>
        </w:pBdr>
        <w:rPr>
          <w:rFonts w:ascii="Century Gothic" w:eastAsia="Century Gothic" w:hAnsi="Century Gothic" w:cs="Century Gothic"/>
          <w:color w:val="002060"/>
          <w:sz w:val="22"/>
          <w:szCs w:val="22"/>
        </w:rPr>
      </w:pP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.análisis evidencia una gestión institucional sólida y progresiva, con resultados cuantificables y sostenibles.</w:t>
      </w:r>
    </w:p>
    <w:p w:rsidR="00D33F17" w:rsidRDefault="00080EDA">
      <w:pPr>
        <w:numPr>
          <w:ilvl w:val="0"/>
          <w:numId w:val="6"/>
        </w:numPr>
        <w:pBdr>
          <w:top w:val="nil"/>
          <w:left w:val="nil"/>
          <w:bottom w:val="nil"/>
          <w:right w:val="nil"/>
          <w:between w:val="nil"/>
        </w:pBdr>
        <w:tabs>
          <w:tab w:val="left" w:pos="720"/>
        </w:tabs>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Cumplimiento promedio 2024: 96 %</w:t>
      </w:r>
    </w:p>
    <w:p w:rsidR="00D33F17" w:rsidRDefault="00080EDA">
      <w:pPr>
        <w:numPr>
          <w:ilvl w:val="0"/>
          <w:numId w:val="6"/>
        </w:numPr>
        <w:pBdr>
          <w:top w:val="nil"/>
          <w:left w:val="nil"/>
          <w:bottom w:val="nil"/>
          <w:right w:val="nil"/>
          <w:between w:val="nil"/>
        </w:pBdr>
        <w:tabs>
          <w:tab w:val="left" w:pos="720"/>
        </w:tabs>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Avance acumulado a junio de 2025: 63 %</w:t>
      </w:r>
    </w:p>
    <w:p w:rsidR="00D33F17" w:rsidRDefault="00080EDA">
      <w:pPr>
        <w:numPr>
          <w:ilvl w:val="0"/>
          <w:numId w:val="6"/>
        </w:numPr>
        <w:pBdr>
          <w:top w:val="nil"/>
          <w:left w:val="nil"/>
          <w:bottom w:val="nil"/>
          <w:right w:val="nil"/>
          <w:between w:val="nil"/>
        </w:pBdr>
        <w:tabs>
          <w:tab w:val="left" w:pos="720"/>
        </w:tabs>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Estrategias en proceso: 3</w:t>
      </w:r>
    </w:p>
    <w:p w:rsidR="00D33F17" w:rsidRDefault="00080EDA">
      <w:pPr>
        <w:numPr>
          <w:ilvl w:val="0"/>
          <w:numId w:val="6"/>
        </w:numPr>
        <w:pBdr>
          <w:top w:val="nil"/>
          <w:left w:val="nil"/>
          <w:bottom w:val="nil"/>
          <w:right w:val="nil"/>
          <w:between w:val="nil"/>
        </w:pBdr>
        <w:tabs>
          <w:tab w:val="left" w:pos="720"/>
        </w:tabs>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Sin avance físico: 1</w:t>
      </w:r>
    </w:p>
    <w:p w:rsidR="00D33F17" w:rsidRDefault="00080EDA">
      <w:pPr>
        <w:pBdr>
          <w:top w:val="nil"/>
          <w:left w:val="nil"/>
          <w:bottom w:val="nil"/>
          <w:right w:val="nil"/>
          <w:between w:val="nil"/>
        </w:pBdr>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La Corporación Social de Cundinamarca muestra fortaleza en la gestión crediticia, bienestar social y modernización tecnológica, manteniendo estabilidad financiera y visión estratégica hacia la descentralización y reorganización institucional.</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desempeño institucional de la Corporación Social de Cundinamarca durante las vigencias 2024–2025 muestra una evolución positiva, caracterizada por:</w:t>
      </w:r>
    </w:p>
    <w:p w:rsidR="00D33F17" w:rsidRDefault="00080EDA">
      <w:pPr>
        <w:numPr>
          <w:ilvl w:val="0"/>
          <w:numId w:val="1"/>
        </w:numPr>
        <w:pBdr>
          <w:top w:val="nil"/>
          <w:left w:val="nil"/>
          <w:bottom w:val="nil"/>
          <w:right w:val="nil"/>
          <w:between w:val="nil"/>
        </w:pBdr>
        <w:tabs>
          <w:tab w:val="left" w:pos="720"/>
        </w:tabs>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Alta capacidad de ejecución en programas sociales.</w:t>
      </w:r>
    </w:p>
    <w:p w:rsidR="00D33F17" w:rsidRDefault="00080EDA">
      <w:pPr>
        <w:numPr>
          <w:ilvl w:val="0"/>
          <w:numId w:val="1"/>
        </w:numPr>
        <w:pBdr>
          <w:top w:val="nil"/>
          <w:left w:val="nil"/>
          <w:bottom w:val="nil"/>
          <w:right w:val="nil"/>
          <w:between w:val="nil"/>
        </w:pBdr>
        <w:tabs>
          <w:tab w:val="left" w:pos="720"/>
        </w:tabs>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Consolidación de procesos administrativos.</w:t>
      </w:r>
    </w:p>
    <w:p w:rsidR="00D33F17" w:rsidRDefault="00080EDA">
      <w:pPr>
        <w:numPr>
          <w:ilvl w:val="0"/>
          <w:numId w:val="1"/>
        </w:numPr>
        <w:pBdr>
          <w:top w:val="nil"/>
          <w:left w:val="nil"/>
          <w:bottom w:val="nil"/>
          <w:right w:val="nil"/>
          <w:between w:val="nil"/>
        </w:pBdr>
        <w:tabs>
          <w:tab w:val="left" w:pos="720"/>
        </w:tabs>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Incorporación progresiva de herramientas tecnológicas.</w:t>
      </w:r>
    </w:p>
    <w:p w:rsidR="00D33F17" w:rsidRDefault="00080EDA">
      <w:pPr>
        <w:numPr>
          <w:ilvl w:val="0"/>
          <w:numId w:val="1"/>
        </w:numPr>
        <w:pBdr>
          <w:top w:val="nil"/>
          <w:left w:val="nil"/>
          <w:bottom w:val="nil"/>
          <w:right w:val="nil"/>
          <w:between w:val="nil"/>
        </w:pBdr>
        <w:tabs>
          <w:tab w:val="left" w:pos="720"/>
        </w:tabs>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Cumplimiento promedio superior al 80% en estrategias priorizadas.</w:t>
      </w:r>
    </w:p>
    <w:p w:rsidR="00D33F17" w:rsidRDefault="00080EDA">
      <w:pPr>
        <w:pBdr>
          <w:top w:val="nil"/>
          <w:left w:val="nil"/>
          <w:bottom w:val="nil"/>
          <w:right w:val="nil"/>
          <w:between w:val="nil"/>
        </w:pBdr>
        <w:jc w:val="both"/>
        <w:rPr>
          <w:rFonts w:ascii="Century Gothic" w:eastAsia="Century Gothic" w:hAnsi="Century Gothic" w:cs="Century Gothic"/>
          <w:color w:val="002060"/>
          <w:sz w:val="22"/>
          <w:szCs w:val="22"/>
        </w:rPr>
      </w:pPr>
      <w:r>
        <w:rPr>
          <w:rFonts w:ascii="Century Gothic" w:eastAsia="Century Gothic" w:hAnsi="Century Gothic" w:cs="Century Gothic"/>
          <w:color w:val="002060"/>
          <w:sz w:val="22"/>
          <w:szCs w:val="22"/>
        </w:rPr>
        <w:t>El reto inmediato consiste en acelerar la ejecución de los proyectos en curso, especialmente los relacionados con la descentralización territorial y la sostenibilidad financiera, para garantizar el cierre efectivo del cuatrienio con metas cumplidas y fortalecimiento institucional consolidado.</w:t>
      </w:r>
    </w:p>
    <w:p w:rsidR="00D33F17" w:rsidRDefault="00D33F17">
      <w:pPr>
        <w:pBdr>
          <w:top w:val="nil"/>
          <w:left w:val="nil"/>
          <w:bottom w:val="nil"/>
          <w:right w:val="nil"/>
          <w:between w:val="nil"/>
        </w:pBdr>
        <w:ind w:left="720"/>
        <w:rPr>
          <w:rFonts w:ascii="Arial" w:eastAsia="Arial" w:hAnsi="Arial" w:cs="Arial"/>
          <w:color w:val="002060"/>
          <w:sz w:val="24"/>
          <w:szCs w:val="24"/>
        </w:rPr>
      </w:pPr>
    </w:p>
    <w:sectPr w:rsidR="00D33F17">
      <w:headerReference w:type="default" r:id="rId16"/>
      <w:footerReference w:type="even" r:id="rId17"/>
      <w:footerReference w:type="default" r:id="rId18"/>
      <w:pgSz w:w="12240" w:h="15840"/>
      <w:pgMar w:top="1536" w:right="1701" w:bottom="1701" w:left="1701" w:header="720" w:footer="913"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3E4009" w:rsidRDefault="003E4009">
      <w:r>
        <w:separator/>
      </w:r>
    </w:p>
  </w:endnote>
  <w:endnote w:type="continuationSeparator" w:id="0">
    <w:p w:rsidR="003E4009" w:rsidRDefault="003E400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Noto Sans Symbols">
    <w:altName w:val="MV Boli"/>
    <w:charset w:val="00"/>
    <w:family w:val="auto"/>
    <w:pitch w:val="default"/>
    <w:embedRegular r:id="rId1" w:fontKey="{BA245D61-0E9D-41C8-9428-6B71E760B8D7}"/>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altName w:val="Times New Roman"/>
    <w:charset w:val="00"/>
    <w:family w:val="auto"/>
    <w:pitch w:val="default"/>
    <w:embedItalic r:id="rId2" w:fontKey="{35357184-9607-487A-A398-4960F81CDB8D}"/>
  </w:font>
  <w:font w:name="Tahoma">
    <w:panose1 w:val="020B0604030504040204"/>
    <w:charset w:val="00"/>
    <w:family w:val="swiss"/>
    <w:pitch w:val="variable"/>
    <w:sig w:usb0="E1002EFF" w:usb1="C000605B" w:usb2="00000029" w:usb3="00000000" w:csb0="000101FF" w:csb1="00000000"/>
    <w:embedBold r:id="rId3" w:fontKey="{C456FBB0-7118-4F74-A732-9EB957123EDB}"/>
  </w:font>
  <w:font w:name="Calibri">
    <w:panose1 w:val="020F0502020204030204"/>
    <w:charset w:val="00"/>
    <w:family w:val="swiss"/>
    <w:pitch w:val="variable"/>
    <w:sig w:usb0="E4002EFF" w:usb1="C000247B" w:usb2="00000009" w:usb3="00000000" w:csb0="000001FF" w:csb1="00000000"/>
    <w:embedRegular r:id="rId4" w:fontKey="{285DAEDF-3AAC-48C6-B6EA-C526F7A96599}"/>
    <w:embedBold r:id="rId5" w:fontKey="{0FA716C2-C039-4B98-9B75-C5E0444C7B05}"/>
  </w:font>
  <w:font w:name="Helvetica">
    <w:panose1 w:val="020B0604020202020204"/>
    <w:charset w:val="00"/>
    <w:family w:val="swiss"/>
    <w:notTrueType/>
    <w:pitch w:val="variable"/>
    <w:sig w:usb0="00000003" w:usb1="00000000" w:usb2="00000000" w:usb3="00000000" w:csb0="00000001" w:csb1="00000000"/>
  </w:font>
  <w:font w:name="Georgia">
    <w:panose1 w:val="02040502050405020303"/>
    <w:charset w:val="00"/>
    <w:family w:val="roman"/>
    <w:pitch w:val="variable"/>
    <w:sig w:usb0="00000287" w:usb1="00000000" w:usb2="00000000" w:usb3="00000000" w:csb0="0000009F" w:csb1="00000000"/>
    <w:embedItalic r:id="rId6" w:fontKey="{0B4A1B2A-9F93-496A-88BA-B1AD1CC1DB5B}"/>
  </w:font>
  <w:font w:name="Century Gothic">
    <w:panose1 w:val="020B0502020202020204"/>
    <w:charset w:val="00"/>
    <w:family w:val="swiss"/>
    <w:pitch w:val="variable"/>
    <w:sig w:usb0="00000287" w:usb1="00000000" w:usb2="00000000" w:usb3="00000000" w:csb0="0000009F" w:csb1="00000000"/>
    <w:embedRegular r:id="rId7" w:fontKey="{A22CE9B9-AC62-4B1C-9457-C97E463EAE4A}"/>
    <w:embedBold r:id="rId8" w:fontKey="{1E7AD71B-B1F4-44D0-974B-CE5AB37AB7E2}"/>
    <w:embedItalic r:id="rId9" w:fontKey="{4A76673B-5B55-457C-A7D9-A16FDFA83FFE}"/>
  </w:font>
  <w:font w:name="Helvetica Neue">
    <w:charset w:val="00"/>
    <w:family w:val="auto"/>
    <w:pitch w:val="default"/>
    <w:embedRegular r:id="rId10" w:fontKey="{BB7DD854-DFC5-4573-B970-E34E09148054}"/>
  </w:font>
  <w:font w:name="Quattrocento Sans">
    <w:charset w:val="00"/>
    <w:family w:val="auto"/>
    <w:pitch w:val="default"/>
    <w:embedRegular r:id="rId11" w:fontKey="{DEAD309F-64A9-4650-9B9A-12A2337FD312}"/>
    <w:embedBold r:id="rId12" w:fontKey="{53AFC55A-FCF7-4A73-91ED-23E978908FB0}"/>
  </w:font>
  <w:font w:name="Cambria">
    <w:panose1 w:val="02040503050406030204"/>
    <w:charset w:val="00"/>
    <w:family w:val="roman"/>
    <w:pitch w:val="variable"/>
    <w:sig w:usb0="E00006FF" w:usb1="420024FF" w:usb2="02000000" w:usb3="00000000" w:csb0="0000019F" w:csb1="00000000"/>
    <w:embedRegular r:id="rId13" w:fontKey="{1AF496B6-4AE2-42C0-950A-C007977A07D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4009" w:rsidRDefault="003E4009">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end"/>
    </w:r>
  </w:p>
  <w:p w:rsidR="003E4009" w:rsidRDefault="003E4009">
    <w:pPr>
      <w:pBdr>
        <w:top w:val="nil"/>
        <w:left w:val="nil"/>
        <w:bottom w:val="nil"/>
        <w:right w:val="nil"/>
        <w:between w:val="nil"/>
      </w:pBdr>
      <w:tabs>
        <w:tab w:val="center" w:pos="4419"/>
        <w:tab w:val="right" w:pos="8838"/>
      </w:tabs>
      <w:ind w:right="360"/>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4009" w:rsidRDefault="003E4009">
    <w:pPr>
      <w:pBdr>
        <w:top w:val="nil"/>
        <w:left w:val="nil"/>
        <w:bottom w:val="nil"/>
        <w:right w:val="nil"/>
        <w:between w:val="nil"/>
      </w:pBdr>
      <w:tabs>
        <w:tab w:val="center" w:pos="4419"/>
        <w:tab w:val="right" w:pos="8838"/>
      </w:tabs>
      <w:jc w:val="right"/>
      <w:rPr>
        <w:color w:val="000000"/>
      </w:rPr>
    </w:pPr>
    <w:r>
      <w:rPr>
        <w:color w:val="000000"/>
      </w:rPr>
      <w:fldChar w:fldCharType="begin"/>
    </w:r>
    <w:r>
      <w:rPr>
        <w:color w:val="000000"/>
      </w:rPr>
      <w:instrText>PAGE</w:instrText>
    </w:r>
    <w:r>
      <w:rPr>
        <w:color w:val="000000"/>
      </w:rPr>
      <w:fldChar w:fldCharType="separate"/>
    </w:r>
    <w:r w:rsidR="009D13FD">
      <w:rPr>
        <w:noProof/>
        <w:color w:val="000000"/>
      </w:rPr>
      <w:t>1</w:t>
    </w:r>
    <w:r>
      <w:rPr>
        <w:color w:val="000000"/>
      </w:rPr>
      <w:fldChar w:fldCharType="end"/>
    </w:r>
  </w:p>
  <w:p w:rsidR="003E4009" w:rsidRDefault="003E4009">
    <w:pPr>
      <w:tabs>
        <w:tab w:val="center" w:pos="4252"/>
        <w:tab w:val="left" w:pos="6400"/>
        <w:tab w:val="right" w:pos="8504"/>
      </w:tabs>
      <w:ind w:right="360"/>
      <w:rPr>
        <w:color w:val="000000"/>
      </w:rPr>
    </w:pPr>
    <w:r>
      <w:rPr>
        <w:noProof/>
      </w:rPr>
      <w:drawing>
        <wp:anchor distT="0" distB="0" distL="0" distR="0" simplePos="0" relativeHeight="251658240" behindDoc="1" locked="0" layoutInCell="1" hidden="0" allowOverlap="1">
          <wp:simplePos x="0" y="0"/>
          <wp:positionH relativeFrom="column">
            <wp:posOffset>1108710</wp:posOffset>
          </wp:positionH>
          <wp:positionV relativeFrom="paragraph">
            <wp:posOffset>26670</wp:posOffset>
          </wp:positionV>
          <wp:extent cx="3408219" cy="620868"/>
          <wp:effectExtent l="0" t="0" r="0" b="0"/>
          <wp:wrapNone/>
          <wp:docPr id="2048110472"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1"/>
                  <a:srcRect/>
                  <a:stretch>
                    <a:fillRect/>
                  </a:stretch>
                </pic:blipFill>
                <pic:spPr>
                  <a:xfrm>
                    <a:off x="0" y="0"/>
                    <a:ext cx="3408219" cy="620868"/>
                  </a:xfrm>
                  <a:prstGeom prst="rect">
                    <a:avLst/>
                  </a:prstGeom>
                  <a:ln/>
                </pic:spPr>
              </pic:pic>
            </a:graphicData>
          </a:graphic>
        </wp:anchor>
      </w:drawing>
    </w:r>
  </w:p>
  <w:p w:rsidR="003E4009" w:rsidRDefault="003E4009">
    <w:pPr>
      <w:tabs>
        <w:tab w:val="center" w:pos="4252"/>
        <w:tab w:val="right" w:pos="8504"/>
      </w:tabs>
      <w:jc w:val="center"/>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3E4009" w:rsidRDefault="003E4009">
      <w:r>
        <w:separator/>
      </w:r>
    </w:p>
  </w:footnote>
  <w:footnote w:type="continuationSeparator" w:id="0">
    <w:p w:rsidR="003E4009" w:rsidRDefault="003E4009">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E4009" w:rsidRDefault="003E4009">
    <w:pPr>
      <w:tabs>
        <w:tab w:val="center" w:pos="4252"/>
        <w:tab w:val="right" w:pos="8504"/>
      </w:tabs>
      <w:rPr>
        <w:color w:val="00000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C635D05"/>
    <w:multiLevelType w:val="multilevel"/>
    <w:tmpl w:val="85323190"/>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
    <w:nsid w:val="0E65676C"/>
    <w:multiLevelType w:val="multilevel"/>
    <w:tmpl w:val="EDA4670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
    <w:nsid w:val="0F544244"/>
    <w:multiLevelType w:val="multilevel"/>
    <w:tmpl w:val="BC14D9C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nsid w:val="119F260D"/>
    <w:multiLevelType w:val="multilevel"/>
    <w:tmpl w:val="E8BE643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4">
    <w:nsid w:val="182F6671"/>
    <w:multiLevelType w:val="multilevel"/>
    <w:tmpl w:val="99F4CC1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nsid w:val="30ED3ECF"/>
    <w:multiLevelType w:val="hybridMultilevel"/>
    <w:tmpl w:val="A50A0F3E"/>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nsid w:val="3289730B"/>
    <w:multiLevelType w:val="multilevel"/>
    <w:tmpl w:val="7B5E581C"/>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7">
    <w:nsid w:val="3BC36292"/>
    <w:multiLevelType w:val="multilevel"/>
    <w:tmpl w:val="84D43F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4CA111F5"/>
    <w:multiLevelType w:val="multilevel"/>
    <w:tmpl w:val="4DC4E948"/>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9">
    <w:nsid w:val="4E9B67A7"/>
    <w:multiLevelType w:val="multilevel"/>
    <w:tmpl w:val="828468DE"/>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0">
    <w:nsid w:val="51FC01AB"/>
    <w:multiLevelType w:val="multilevel"/>
    <w:tmpl w:val="5AFA92D2"/>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1">
    <w:nsid w:val="62302800"/>
    <w:multiLevelType w:val="multilevel"/>
    <w:tmpl w:val="7AD49A8A"/>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o"/>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12">
    <w:nsid w:val="7B9734EA"/>
    <w:multiLevelType w:val="multilevel"/>
    <w:tmpl w:val="6C906168"/>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9"/>
  </w:num>
  <w:num w:numId="2">
    <w:abstractNumId w:val="8"/>
  </w:num>
  <w:num w:numId="3">
    <w:abstractNumId w:val="12"/>
  </w:num>
  <w:num w:numId="4">
    <w:abstractNumId w:val="6"/>
  </w:num>
  <w:num w:numId="5">
    <w:abstractNumId w:val="10"/>
  </w:num>
  <w:num w:numId="6">
    <w:abstractNumId w:val="4"/>
  </w:num>
  <w:num w:numId="7">
    <w:abstractNumId w:val="2"/>
  </w:num>
  <w:num w:numId="8">
    <w:abstractNumId w:val="0"/>
  </w:num>
  <w:num w:numId="9">
    <w:abstractNumId w:val="11"/>
  </w:num>
  <w:num w:numId="10">
    <w:abstractNumId w:val="3"/>
  </w:num>
  <w:num w:numId="11">
    <w:abstractNumId w:val="1"/>
  </w:num>
  <w:num w:numId="12">
    <w:abstractNumId w:val="5"/>
  </w:num>
  <w:num w:numId="13">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3F17"/>
    <w:rsid w:val="000127F5"/>
    <w:rsid w:val="00080EDA"/>
    <w:rsid w:val="00156459"/>
    <w:rsid w:val="001B507E"/>
    <w:rsid w:val="001B7EEE"/>
    <w:rsid w:val="001D61B9"/>
    <w:rsid w:val="00300ACC"/>
    <w:rsid w:val="003E4009"/>
    <w:rsid w:val="00432471"/>
    <w:rsid w:val="004362E8"/>
    <w:rsid w:val="00466E30"/>
    <w:rsid w:val="004A76A8"/>
    <w:rsid w:val="004B61E8"/>
    <w:rsid w:val="00590158"/>
    <w:rsid w:val="00636DD0"/>
    <w:rsid w:val="0066727F"/>
    <w:rsid w:val="007A2C65"/>
    <w:rsid w:val="00861857"/>
    <w:rsid w:val="0088015B"/>
    <w:rsid w:val="008A55A5"/>
    <w:rsid w:val="008C4D7F"/>
    <w:rsid w:val="009D13FD"/>
    <w:rsid w:val="00A832FD"/>
    <w:rsid w:val="00C4134D"/>
    <w:rsid w:val="00CD2DB5"/>
    <w:rsid w:val="00D33F17"/>
    <w:rsid w:val="00D50A11"/>
    <w:rsid w:val="00DD6BEF"/>
    <w:rsid w:val="00E63927"/>
    <w:rsid w:val="00E6633B"/>
    <w:rsid w:val="00E727E3"/>
    <w:rsid w:val="00E81A01"/>
    <w:rsid w:val="00EE7642"/>
    <w:rsid w:val="00FC3B3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06EC6BBD-43DD-486B-972B-2A531DDB62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s-CO" w:eastAsia="es-CO"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style>
  <w:style w:type="paragraph" w:styleId="Ttulo1">
    <w:name w:val="heading 1"/>
    <w:basedOn w:val="Normal"/>
    <w:next w:val="Normal"/>
    <w:pPr>
      <w:keepNext/>
      <w:spacing w:before="240" w:after="60"/>
      <w:outlineLvl w:val="0"/>
    </w:pPr>
    <w:rPr>
      <w:rFonts w:ascii="Arial" w:eastAsia="Arial" w:hAnsi="Arial" w:cs="Arial"/>
      <w:b/>
      <w:bCs/>
      <w:sz w:val="32"/>
      <w:szCs w:val="32"/>
    </w:rPr>
  </w:style>
  <w:style w:type="paragraph" w:styleId="Ttulo2">
    <w:name w:val="heading 2"/>
    <w:basedOn w:val="Normal"/>
    <w:next w:val="Normal"/>
    <w:pPr>
      <w:keepNext/>
      <w:widowControl w:val="0"/>
      <w:jc w:val="center"/>
      <w:outlineLvl w:val="1"/>
    </w:pPr>
    <w:rPr>
      <w:rFonts w:ascii="Arial" w:eastAsia="Arial" w:hAnsi="Arial" w:cs="Arial"/>
      <w:b/>
      <w:bCs/>
      <w:sz w:val="24"/>
      <w:szCs w:val="24"/>
    </w:rPr>
  </w:style>
  <w:style w:type="paragraph" w:styleId="Ttulo3">
    <w:name w:val="heading 3"/>
    <w:basedOn w:val="Normal"/>
    <w:next w:val="Normal"/>
    <w:pPr>
      <w:keepNext/>
      <w:spacing w:before="240" w:after="60"/>
      <w:outlineLvl w:val="2"/>
    </w:pPr>
    <w:rPr>
      <w:rFonts w:ascii="Arial" w:eastAsia="Arial" w:hAnsi="Arial" w:cs="Arial"/>
      <w:b/>
      <w:bCs/>
      <w:sz w:val="26"/>
      <w:szCs w:val="26"/>
    </w:rPr>
  </w:style>
  <w:style w:type="paragraph" w:styleId="Ttulo4">
    <w:name w:val="heading 4"/>
    <w:basedOn w:val="Normal"/>
    <w:next w:val="Normal"/>
    <w:pPr>
      <w:keepNext/>
      <w:spacing w:before="240" w:after="60"/>
      <w:outlineLvl w:val="3"/>
    </w:pPr>
    <w:rPr>
      <w:b/>
      <w:bCs/>
      <w:sz w:val="28"/>
      <w:szCs w:val="28"/>
    </w:rPr>
  </w:style>
  <w:style w:type="paragraph" w:styleId="Ttulo5">
    <w:name w:val="heading 5"/>
    <w:basedOn w:val="Normal"/>
    <w:next w:val="Normal"/>
    <w:pPr>
      <w:keepNext/>
      <w:outlineLvl w:val="4"/>
    </w:pPr>
    <w:rPr>
      <w:i/>
      <w:iCs/>
      <w:sz w:val="19"/>
      <w:szCs w:val="19"/>
      <w:u w:val="single"/>
    </w:rPr>
  </w:style>
  <w:style w:type="paragraph" w:styleId="Ttulo6">
    <w:name w:val="heading 6"/>
    <w:basedOn w:val="Normal"/>
    <w:next w:val="Normal"/>
    <w:pPr>
      <w:keepNext/>
      <w:outlineLvl w:val="5"/>
    </w:pPr>
    <w:rPr>
      <w:rFonts w:ascii="CG Times" w:eastAsia="CG Times" w:hAnsi="CG Times" w:cs="CG Times"/>
      <w:i/>
      <w:iCs/>
      <w:u w:val="single"/>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pPr>
      <w:jc w:val="center"/>
    </w:pPr>
    <w:rPr>
      <w:rFonts w:ascii="Tahoma" w:eastAsia="Tahoma" w:hAnsi="Tahoma" w:cs="Tahoma"/>
      <w:b/>
      <w:bCs/>
      <w:sz w:val="24"/>
      <w:szCs w:val="24"/>
    </w:rPr>
  </w:style>
  <w:style w:type="character" w:styleId="nfasis">
    <w:name w:val="Emphasis"/>
    <w:basedOn w:val="Fuentedeprrafopredeter"/>
    <w:uiPriority w:val="20"/>
    <w:qFormat/>
    <w:rPr>
      <w:i/>
      <w:iCs/>
    </w:rPr>
  </w:style>
  <w:style w:type="paragraph" w:styleId="Piedepgina">
    <w:name w:val="footer"/>
    <w:basedOn w:val="Normal"/>
    <w:link w:val="PiedepginaCar"/>
    <w:uiPriority w:val="99"/>
    <w:unhideWhenUsed/>
    <w:qFormat/>
    <w:pPr>
      <w:tabs>
        <w:tab w:val="center" w:pos="4419"/>
        <w:tab w:val="right" w:pos="8838"/>
      </w:tabs>
    </w:pPr>
  </w:style>
  <w:style w:type="paragraph" w:styleId="Encabezado">
    <w:name w:val="header"/>
    <w:basedOn w:val="Normal"/>
    <w:link w:val="EncabezadoCar"/>
    <w:uiPriority w:val="99"/>
    <w:unhideWhenUsed/>
    <w:qFormat/>
    <w:pPr>
      <w:tabs>
        <w:tab w:val="center" w:pos="4419"/>
        <w:tab w:val="right" w:pos="8838"/>
      </w:tabs>
    </w:pPr>
  </w:style>
  <w:style w:type="paragraph" w:styleId="NormalWeb">
    <w:name w:val="Normal (Web)"/>
    <w:basedOn w:val="Normal"/>
    <w:uiPriority w:val="99"/>
    <w:unhideWhenUsed/>
    <w:qFormat/>
    <w:pPr>
      <w:spacing w:before="100" w:beforeAutospacing="1" w:after="100" w:afterAutospacing="1"/>
    </w:pPr>
    <w:rPr>
      <w:sz w:val="24"/>
      <w:szCs w:val="24"/>
    </w:rPr>
  </w:style>
  <w:style w:type="character" w:styleId="Nmerodepgina">
    <w:name w:val="page number"/>
    <w:basedOn w:val="Fuentedeprrafopredeter"/>
    <w:uiPriority w:val="99"/>
    <w:semiHidden/>
    <w:unhideWhenUsed/>
    <w:qFormat/>
  </w:style>
  <w:style w:type="character" w:styleId="Textoennegrita">
    <w:name w:val="Strong"/>
    <w:basedOn w:val="Fuentedeprrafopredeter"/>
    <w:uiPriority w:val="22"/>
    <w:qFormat/>
    <w:rPr>
      <w:b/>
      <w:bCs/>
    </w:rPr>
  </w:style>
  <w:style w:type="table" w:customStyle="1" w:styleId="TableNormal0">
    <w:name w:val="TableNormal"/>
    <w:qFormat/>
    <w:tblPr>
      <w:tblCellMar>
        <w:top w:w="100" w:type="dxa"/>
        <w:left w:w="100" w:type="dxa"/>
        <w:bottom w:w="100" w:type="dxa"/>
        <w:right w:w="100" w:type="dxa"/>
      </w:tblCellMar>
    </w:tblPr>
  </w:style>
  <w:style w:type="table" w:customStyle="1" w:styleId="Style12">
    <w:name w:val="_Style 12"/>
    <w:basedOn w:val="TableNormal0"/>
    <w:qFormat/>
    <w:tblPr>
      <w:tblCellMar>
        <w:top w:w="100" w:type="dxa"/>
        <w:left w:w="100" w:type="dxa"/>
        <w:bottom w:w="100" w:type="dxa"/>
        <w:right w:w="100" w:type="dxa"/>
      </w:tblCellMar>
    </w:tblPr>
  </w:style>
  <w:style w:type="table" w:customStyle="1" w:styleId="Style13">
    <w:name w:val="_Style 13"/>
    <w:basedOn w:val="TableNormal0"/>
    <w:qFormat/>
    <w:tblPr>
      <w:tblCellMar>
        <w:top w:w="100" w:type="dxa"/>
        <w:left w:w="100" w:type="dxa"/>
        <w:bottom w:w="100" w:type="dxa"/>
        <w:right w:w="100" w:type="dxa"/>
      </w:tblCellMar>
    </w:tblPr>
  </w:style>
  <w:style w:type="table" w:customStyle="1" w:styleId="Style14">
    <w:name w:val="_Style 14"/>
    <w:basedOn w:val="TableNormal0"/>
    <w:qFormat/>
    <w:tblPr>
      <w:tblCellMar>
        <w:top w:w="100" w:type="dxa"/>
        <w:left w:w="100" w:type="dxa"/>
        <w:bottom w:w="100" w:type="dxa"/>
        <w:right w:w="100" w:type="dxa"/>
      </w:tblCellMar>
    </w:tblPr>
  </w:style>
  <w:style w:type="table" w:customStyle="1" w:styleId="Style15">
    <w:name w:val="_Style 15"/>
    <w:basedOn w:val="TableNormal0"/>
    <w:qFormat/>
    <w:tblPr>
      <w:tblCellMar>
        <w:top w:w="100" w:type="dxa"/>
        <w:left w:w="100" w:type="dxa"/>
        <w:bottom w:w="100" w:type="dxa"/>
        <w:right w:w="100" w:type="dxa"/>
      </w:tblCellMar>
    </w:tblPr>
  </w:style>
  <w:style w:type="table" w:customStyle="1" w:styleId="Style16">
    <w:name w:val="_Style 16"/>
    <w:basedOn w:val="TableNormal0"/>
    <w:qFormat/>
    <w:tblPr>
      <w:tblCellMar>
        <w:top w:w="100" w:type="dxa"/>
        <w:left w:w="100" w:type="dxa"/>
        <w:bottom w:w="100" w:type="dxa"/>
        <w:right w:w="100" w:type="dxa"/>
      </w:tblCellMar>
    </w:tblPr>
  </w:style>
  <w:style w:type="table" w:customStyle="1" w:styleId="Style17">
    <w:name w:val="_Style 17"/>
    <w:basedOn w:val="TableNormal0"/>
    <w:qFormat/>
    <w:tblPr>
      <w:tblCellMar>
        <w:top w:w="100" w:type="dxa"/>
        <w:left w:w="100" w:type="dxa"/>
        <w:bottom w:w="100" w:type="dxa"/>
        <w:right w:w="100" w:type="dxa"/>
      </w:tblCellMar>
    </w:tblPr>
  </w:style>
  <w:style w:type="table" w:customStyle="1" w:styleId="Style18">
    <w:name w:val="_Style 18"/>
    <w:basedOn w:val="TableNormal0"/>
    <w:qFormat/>
    <w:tblPr>
      <w:tblCellMar>
        <w:top w:w="100" w:type="dxa"/>
        <w:left w:w="100" w:type="dxa"/>
        <w:bottom w:w="100" w:type="dxa"/>
        <w:right w:w="100" w:type="dxa"/>
      </w:tblCellMar>
    </w:tblPr>
  </w:style>
  <w:style w:type="table" w:customStyle="1" w:styleId="Style19">
    <w:name w:val="_Style 19"/>
    <w:basedOn w:val="TableNormal0"/>
    <w:qFormat/>
    <w:tblPr>
      <w:tblCellMar>
        <w:top w:w="100" w:type="dxa"/>
        <w:left w:w="100" w:type="dxa"/>
        <w:bottom w:w="100" w:type="dxa"/>
        <w:right w:w="100" w:type="dxa"/>
      </w:tblCellMar>
    </w:tblPr>
  </w:style>
  <w:style w:type="paragraph" w:styleId="Prrafodelista">
    <w:name w:val="List Paragraph"/>
    <w:basedOn w:val="Normal"/>
    <w:uiPriority w:val="34"/>
    <w:qFormat/>
    <w:pPr>
      <w:ind w:left="720"/>
      <w:contextualSpacing/>
    </w:pPr>
  </w:style>
  <w:style w:type="table" w:customStyle="1" w:styleId="Style25">
    <w:name w:val="_Style 25"/>
    <w:basedOn w:val="TableNormal0"/>
    <w:qFormat/>
    <w:tblPr>
      <w:tblCellMar>
        <w:top w:w="100" w:type="dxa"/>
        <w:left w:w="100" w:type="dxa"/>
        <w:bottom w:w="100" w:type="dxa"/>
        <w:right w:w="100" w:type="dxa"/>
      </w:tblCellMar>
    </w:tblPr>
  </w:style>
  <w:style w:type="table" w:customStyle="1" w:styleId="Style26">
    <w:name w:val="_Style 26"/>
    <w:basedOn w:val="TableNormal0"/>
    <w:qFormat/>
    <w:tblPr>
      <w:tblCellMar>
        <w:top w:w="100" w:type="dxa"/>
        <w:left w:w="100" w:type="dxa"/>
        <w:bottom w:w="100" w:type="dxa"/>
        <w:right w:w="100" w:type="dxa"/>
      </w:tblCellMar>
    </w:tblPr>
  </w:style>
  <w:style w:type="table" w:customStyle="1" w:styleId="Style27">
    <w:name w:val="_Style 27"/>
    <w:basedOn w:val="TableNormal0"/>
    <w:qFormat/>
    <w:tblPr>
      <w:tblCellMar>
        <w:top w:w="100" w:type="dxa"/>
        <w:left w:w="100" w:type="dxa"/>
        <w:bottom w:w="100" w:type="dxa"/>
        <w:right w:w="100" w:type="dxa"/>
      </w:tblCellMar>
    </w:tblPr>
  </w:style>
  <w:style w:type="table" w:customStyle="1" w:styleId="Style28">
    <w:name w:val="_Style 28"/>
    <w:basedOn w:val="TableNormal0"/>
    <w:qFormat/>
    <w:tblPr>
      <w:tblCellMar>
        <w:top w:w="100" w:type="dxa"/>
        <w:left w:w="100" w:type="dxa"/>
        <w:bottom w:w="100" w:type="dxa"/>
        <w:right w:w="100" w:type="dxa"/>
      </w:tblCellMar>
    </w:tblPr>
  </w:style>
  <w:style w:type="table" w:customStyle="1" w:styleId="Style29">
    <w:name w:val="_Style 29"/>
    <w:basedOn w:val="TableNormal0"/>
    <w:qFormat/>
    <w:tblPr>
      <w:tblCellMar>
        <w:top w:w="100" w:type="dxa"/>
        <w:left w:w="100" w:type="dxa"/>
        <w:bottom w:w="100" w:type="dxa"/>
        <w:right w:w="100" w:type="dxa"/>
      </w:tblCellMar>
    </w:tblPr>
  </w:style>
  <w:style w:type="table" w:customStyle="1" w:styleId="Style30">
    <w:name w:val="_Style 30"/>
    <w:basedOn w:val="TableNormal0"/>
    <w:qFormat/>
    <w:tblPr>
      <w:tblCellMar>
        <w:top w:w="100" w:type="dxa"/>
        <w:left w:w="100" w:type="dxa"/>
        <w:bottom w:w="100" w:type="dxa"/>
        <w:right w:w="100" w:type="dxa"/>
      </w:tblCellMar>
    </w:tblPr>
  </w:style>
  <w:style w:type="table" w:customStyle="1" w:styleId="Style31">
    <w:name w:val="_Style 31"/>
    <w:basedOn w:val="TableNormal0"/>
    <w:qFormat/>
    <w:tblPr>
      <w:tblCellMar>
        <w:top w:w="100" w:type="dxa"/>
        <w:left w:w="100" w:type="dxa"/>
        <w:bottom w:w="100" w:type="dxa"/>
        <w:right w:w="100" w:type="dxa"/>
      </w:tblCellMar>
    </w:tblPr>
  </w:style>
  <w:style w:type="table" w:customStyle="1" w:styleId="Style32">
    <w:name w:val="_Style 32"/>
    <w:basedOn w:val="TableNormal0"/>
    <w:qFormat/>
    <w:tblPr>
      <w:tblCellMar>
        <w:top w:w="15" w:type="dxa"/>
        <w:left w:w="15" w:type="dxa"/>
        <w:bottom w:w="15" w:type="dxa"/>
        <w:right w:w="15" w:type="dxa"/>
      </w:tblCellMar>
    </w:tblPr>
  </w:style>
  <w:style w:type="table" w:customStyle="1" w:styleId="Style33">
    <w:name w:val="_Style 33"/>
    <w:basedOn w:val="TableNormal0"/>
    <w:qFormat/>
    <w:tblPr>
      <w:tblCellMar>
        <w:top w:w="15" w:type="dxa"/>
        <w:left w:w="15" w:type="dxa"/>
        <w:bottom w:w="15" w:type="dxa"/>
        <w:right w:w="15" w:type="dxa"/>
      </w:tblCellMar>
    </w:tblPr>
  </w:style>
  <w:style w:type="table" w:customStyle="1" w:styleId="Style34">
    <w:name w:val="_Style 34"/>
    <w:basedOn w:val="TableNormal0"/>
    <w:qFormat/>
    <w:tblPr>
      <w:tblCellMar>
        <w:top w:w="100" w:type="dxa"/>
        <w:left w:w="100" w:type="dxa"/>
        <w:bottom w:w="100" w:type="dxa"/>
        <w:right w:w="100" w:type="dxa"/>
      </w:tblCellMar>
    </w:tblPr>
  </w:style>
  <w:style w:type="table" w:customStyle="1" w:styleId="Style35">
    <w:name w:val="_Style 35"/>
    <w:basedOn w:val="TableNormal0"/>
    <w:qFormat/>
    <w:tblPr>
      <w:tblCellMar>
        <w:top w:w="100" w:type="dxa"/>
        <w:left w:w="100" w:type="dxa"/>
        <w:bottom w:w="100" w:type="dxa"/>
        <w:right w:w="100" w:type="dxa"/>
      </w:tblCellMar>
    </w:tblPr>
  </w:style>
  <w:style w:type="table" w:customStyle="1" w:styleId="Style36">
    <w:name w:val="_Style 36"/>
    <w:basedOn w:val="TableNormal0"/>
    <w:qFormat/>
    <w:tblPr>
      <w:tblCellMar>
        <w:top w:w="100" w:type="dxa"/>
        <w:left w:w="100" w:type="dxa"/>
        <w:bottom w:w="100" w:type="dxa"/>
        <w:right w:w="100" w:type="dxa"/>
      </w:tblCellMar>
    </w:tblPr>
  </w:style>
  <w:style w:type="character" w:customStyle="1" w:styleId="EncabezadoCar">
    <w:name w:val="Encabezado Car"/>
    <w:basedOn w:val="Fuentedeprrafopredeter"/>
    <w:link w:val="Encabezado"/>
    <w:uiPriority w:val="99"/>
    <w:qFormat/>
  </w:style>
  <w:style w:type="character" w:customStyle="1" w:styleId="PiedepginaCar">
    <w:name w:val="Pie de página Car"/>
    <w:basedOn w:val="Fuentedeprrafopredeter"/>
    <w:link w:val="Piedepgina"/>
    <w:uiPriority w:val="99"/>
    <w:qFormat/>
  </w:style>
  <w:style w:type="paragraph" w:customStyle="1" w:styleId="Default">
    <w:name w:val="Default"/>
    <w:rsid w:val="000C0CD9"/>
    <w:pPr>
      <w:autoSpaceDE w:val="0"/>
      <w:autoSpaceDN w:val="0"/>
      <w:adjustRightInd w:val="0"/>
    </w:pPr>
    <w:rPr>
      <w:rFonts w:ascii="Calibri" w:hAnsi="Calibri" w:cs="Calibri"/>
      <w:color w:val="000000"/>
      <w:sz w:val="24"/>
      <w:szCs w:val="24"/>
    </w:rPr>
  </w:style>
  <w:style w:type="paragraph" w:customStyle="1" w:styleId="ds-markdown-paragraph">
    <w:name w:val="ds-markdown-paragraph"/>
    <w:basedOn w:val="Normal"/>
    <w:rsid w:val="00534F45"/>
    <w:pPr>
      <w:spacing w:before="100" w:beforeAutospacing="1" w:after="100" w:afterAutospacing="1"/>
    </w:pPr>
    <w:rPr>
      <w:sz w:val="24"/>
      <w:szCs w:val="24"/>
      <w:lang w:eastAsia="es-MX"/>
    </w:rPr>
  </w:style>
  <w:style w:type="character" w:customStyle="1" w:styleId="Ttulo2Car">
    <w:name w:val="Título 2 Car"/>
    <w:basedOn w:val="Fuentedeprrafopredeter"/>
    <w:rsid w:val="000606B0"/>
    <w:rPr>
      <w:rFonts w:ascii="Arial" w:eastAsia="Arial" w:hAnsi="Arial" w:cs="Arial"/>
      <w:b/>
      <w:sz w:val="24"/>
      <w:szCs w:val="24"/>
    </w:rPr>
  </w:style>
  <w:style w:type="character" w:customStyle="1" w:styleId="Ttulo3Car">
    <w:name w:val="Título 3 Car"/>
    <w:basedOn w:val="Fuentedeprrafopredeter"/>
    <w:qFormat/>
    <w:rsid w:val="000606B0"/>
    <w:rPr>
      <w:rFonts w:ascii="Arial" w:eastAsia="Arial" w:hAnsi="Arial" w:cs="Arial"/>
      <w:b/>
      <w:sz w:val="26"/>
      <w:szCs w:val="26"/>
    </w:rPr>
  </w:style>
  <w:style w:type="paragraph" w:customStyle="1" w:styleId="p1">
    <w:name w:val="p1"/>
    <w:basedOn w:val="Normal"/>
    <w:rsid w:val="00320D3C"/>
    <w:rPr>
      <w:rFonts w:ascii="Helvetica" w:hAnsi="Helvetica"/>
      <w:color w:val="000000"/>
      <w:sz w:val="18"/>
      <w:szCs w:val="18"/>
      <w:lang w:eastAsia="es-MX"/>
    </w:rPr>
  </w:style>
  <w:style w:type="paragraph" w:styleId="Subttulo">
    <w:name w:val="Subtitle"/>
    <w:basedOn w:val="Normal"/>
    <w:next w:val="Normal"/>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0" w:type="dxa"/>
        <w:bottom w:w="0" w:type="dxa"/>
        <w:right w:w="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table" w:customStyle="1" w:styleId="a2">
    <w:basedOn w:val="TableNormal0"/>
    <w:tblPr>
      <w:tblStyleRowBandSize w:val="1"/>
      <w:tblStyleColBandSize w:val="1"/>
      <w:tblCellMar>
        <w:top w:w="100" w:type="dxa"/>
        <w:left w:w="100" w:type="dxa"/>
        <w:bottom w:w="100" w:type="dxa"/>
        <w:right w:w="100" w:type="dxa"/>
      </w:tblCellMar>
    </w:tblPr>
  </w:style>
  <w:style w:type="table" w:customStyle="1" w:styleId="a3">
    <w:basedOn w:val="TableNormal0"/>
    <w:tblPr>
      <w:tblStyleRowBandSize w:val="1"/>
      <w:tblStyleColBandSize w:val="1"/>
      <w:tblCellMar>
        <w:top w:w="100" w:type="dxa"/>
        <w:left w:w="100" w:type="dxa"/>
        <w:bottom w:w="100" w:type="dxa"/>
        <w:right w:w="100" w:type="dxa"/>
      </w:tblCellMar>
    </w:tblPr>
  </w:style>
  <w:style w:type="table" w:customStyle="1" w:styleId="a4">
    <w:basedOn w:val="TableNormal0"/>
    <w:tblPr>
      <w:tblStyleRowBandSize w:val="1"/>
      <w:tblStyleColBandSize w:val="1"/>
      <w:tblCellMar>
        <w:top w:w="100" w:type="dxa"/>
        <w:left w:w="100" w:type="dxa"/>
        <w:bottom w:w="100" w:type="dxa"/>
        <w:right w:w="100" w:type="dxa"/>
      </w:tblCellMar>
    </w:tblPr>
  </w:style>
  <w:style w:type="table" w:customStyle="1" w:styleId="a5">
    <w:basedOn w:val="TableNormal0"/>
    <w:tblPr>
      <w:tblStyleRowBandSize w:val="1"/>
      <w:tblStyleColBandSize w:val="1"/>
      <w:tblCellMar>
        <w:top w:w="100" w:type="dxa"/>
        <w:left w:w="100" w:type="dxa"/>
        <w:bottom w:w="100" w:type="dxa"/>
        <w:right w:w="100" w:type="dxa"/>
      </w:tblCellMar>
    </w:tblPr>
  </w:style>
  <w:style w:type="table" w:customStyle="1" w:styleId="a6">
    <w:basedOn w:val="TableNormal0"/>
    <w:tblPr>
      <w:tblStyleRowBandSize w:val="1"/>
      <w:tblStyleColBandSize w:val="1"/>
      <w:tblCellMar>
        <w:top w:w="100" w:type="dxa"/>
        <w:left w:w="100" w:type="dxa"/>
        <w:bottom w:w="100" w:type="dxa"/>
        <w:right w:w="100" w:type="dxa"/>
      </w:tblCellMar>
    </w:tblPr>
  </w:style>
  <w:style w:type="table" w:customStyle="1" w:styleId="a7">
    <w:basedOn w:val="TableNormal0"/>
    <w:tblPr>
      <w:tblStyleRowBandSize w:val="1"/>
      <w:tblStyleColBandSize w:val="1"/>
      <w:tblCellMar>
        <w:top w:w="100" w:type="dxa"/>
        <w:left w:w="100" w:type="dxa"/>
        <w:bottom w:w="100" w:type="dxa"/>
        <w:right w:w="100" w:type="dxa"/>
      </w:tblCellMar>
    </w:tblPr>
  </w:style>
  <w:style w:type="table" w:customStyle="1" w:styleId="a8">
    <w:basedOn w:val="TableNormal0"/>
    <w:tblPr>
      <w:tblStyleRowBandSize w:val="1"/>
      <w:tblStyleColBandSize w:val="1"/>
      <w:tblCellMar>
        <w:top w:w="100" w:type="dxa"/>
        <w:left w:w="100" w:type="dxa"/>
        <w:bottom w:w="100" w:type="dxa"/>
        <w:right w:w="100" w:type="dxa"/>
      </w:tblCellMar>
    </w:tblPr>
  </w:style>
  <w:style w:type="table" w:customStyle="1" w:styleId="a9">
    <w:basedOn w:val="TableNormal0"/>
    <w:tblPr>
      <w:tblStyleRowBandSize w:val="1"/>
      <w:tblStyleColBandSize w:val="1"/>
      <w:tblCellMar>
        <w:top w:w="100" w:type="dxa"/>
        <w:left w:w="100" w:type="dxa"/>
        <w:bottom w:w="100" w:type="dxa"/>
        <w:right w:w="100" w:type="dxa"/>
      </w:tblCellMar>
    </w:tblPr>
  </w:style>
  <w:style w:type="table" w:customStyle="1" w:styleId="aa">
    <w:basedOn w:val="TableNormal0"/>
    <w:tblPr>
      <w:tblStyleRowBandSize w:val="1"/>
      <w:tblStyleColBandSize w:val="1"/>
      <w:tblCellMar>
        <w:top w:w="100" w:type="dxa"/>
        <w:left w:w="100" w:type="dxa"/>
        <w:bottom w:w="100" w:type="dxa"/>
        <w:right w:w="100" w:type="dxa"/>
      </w:tblCellMar>
    </w:tblPr>
  </w:style>
  <w:style w:type="table" w:customStyle="1" w:styleId="ab">
    <w:basedOn w:val="TableNormal0"/>
    <w:tblPr>
      <w:tblStyleRowBandSize w:val="1"/>
      <w:tblStyleColBandSize w:val="1"/>
      <w:tblCellMar>
        <w:top w:w="100" w:type="dxa"/>
        <w:left w:w="100" w:type="dxa"/>
        <w:bottom w:w="100" w:type="dxa"/>
        <w:right w:w="100" w:type="dxa"/>
      </w:tblCellMar>
    </w:tblPr>
  </w:style>
  <w:style w:type="table" w:customStyle="1" w:styleId="ac">
    <w:basedOn w:val="TableNormal0"/>
    <w:tblPr>
      <w:tblStyleRowBandSize w:val="1"/>
      <w:tblStyleColBandSize w:val="1"/>
      <w:tblCellMar>
        <w:top w:w="100" w:type="dxa"/>
        <w:left w:w="100" w:type="dxa"/>
        <w:bottom w:w="100" w:type="dxa"/>
        <w:right w:w="100" w:type="dxa"/>
      </w:tblCellMar>
    </w:tblPr>
  </w:style>
  <w:style w:type="table" w:customStyle="1" w:styleId="ad">
    <w:basedOn w:val="TableNormal0"/>
    <w:tblPr>
      <w:tblStyleRowBandSize w:val="1"/>
      <w:tblStyleColBandSize w:val="1"/>
      <w:tblCellMar>
        <w:top w:w="100" w:type="dxa"/>
        <w:left w:w="100" w:type="dxa"/>
        <w:bottom w:w="100" w:type="dxa"/>
        <w:right w:w="100" w:type="dxa"/>
      </w:tblCellMar>
    </w:tblPr>
  </w:style>
  <w:style w:type="table" w:customStyle="1" w:styleId="ae">
    <w:basedOn w:val="TableNormal0"/>
    <w:tblPr>
      <w:tblStyleRowBandSize w:val="1"/>
      <w:tblStyleColBandSize w:val="1"/>
      <w:tblCellMar>
        <w:top w:w="100" w:type="dxa"/>
        <w:left w:w="100" w:type="dxa"/>
        <w:bottom w:w="100" w:type="dxa"/>
        <w:right w:w="100" w:type="dxa"/>
      </w:tblCellMar>
    </w:tblPr>
  </w:style>
  <w:style w:type="table" w:customStyle="1" w:styleId="af">
    <w:basedOn w:val="TableNormal0"/>
    <w:tblPr>
      <w:tblStyleRowBandSize w:val="1"/>
      <w:tblStyleColBandSize w:val="1"/>
      <w:tblCellMar>
        <w:top w:w="0" w:type="dxa"/>
        <w:left w:w="0" w:type="dxa"/>
        <w:bottom w:w="0" w:type="dxa"/>
        <w:right w:w="0" w:type="dxa"/>
      </w:tblCellMar>
    </w:tblPr>
  </w:style>
  <w:style w:type="table" w:customStyle="1" w:styleId="af0">
    <w:basedOn w:val="TableNormal0"/>
    <w:tblPr>
      <w:tblStyleRowBandSize w:val="1"/>
      <w:tblStyleColBandSize w:val="1"/>
      <w:tblCellMar>
        <w:top w:w="100" w:type="dxa"/>
        <w:left w:w="100" w:type="dxa"/>
        <w:bottom w:w="100" w:type="dxa"/>
        <w:right w:w="100" w:type="dxa"/>
      </w:tblCellMar>
    </w:tblPr>
  </w:style>
  <w:style w:type="table" w:customStyle="1" w:styleId="af1">
    <w:basedOn w:val="TableNormal0"/>
    <w:tblPr>
      <w:tblStyleRowBandSize w:val="1"/>
      <w:tblStyleColBandSize w:val="1"/>
      <w:tblCellMar>
        <w:top w:w="100" w:type="dxa"/>
        <w:left w:w="100" w:type="dxa"/>
        <w:bottom w:w="100" w:type="dxa"/>
        <w:right w:w="100" w:type="dxa"/>
      </w:tblCellMar>
    </w:tblPr>
  </w:style>
  <w:style w:type="table" w:customStyle="1" w:styleId="af2">
    <w:basedOn w:val="TableNormal0"/>
    <w:tblPr>
      <w:tblStyleRowBandSize w:val="1"/>
      <w:tblStyleColBandSize w:val="1"/>
      <w:tblCellMar>
        <w:top w:w="100" w:type="dxa"/>
        <w:left w:w="100" w:type="dxa"/>
        <w:bottom w:w="100" w:type="dxa"/>
        <w:right w:w="100" w:type="dxa"/>
      </w:tblCellMar>
    </w:tblPr>
  </w:style>
  <w:style w:type="table" w:customStyle="1" w:styleId="af3">
    <w:basedOn w:val="TableNormal0"/>
    <w:tblPr>
      <w:tblStyleRowBandSize w:val="1"/>
      <w:tblStyleColBandSize w:val="1"/>
      <w:tblCellMar>
        <w:top w:w="100" w:type="dxa"/>
        <w:left w:w="100" w:type="dxa"/>
        <w:bottom w:w="100" w:type="dxa"/>
        <w:right w:w="100" w:type="dxa"/>
      </w:tblCellMar>
    </w:tblPr>
  </w:style>
  <w:style w:type="table" w:customStyle="1" w:styleId="af4">
    <w:basedOn w:val="TableNormal0"/>
    <w:tblPr>
      <w:tblStyleRowBandSize w:val="1"/>
      <w:tblStyleColBandSize w:val="1"/>
      <w:tblCellMar>
        <w:top w:w="100" w:type="dxa"/>
        <w:left w:w="100" w:type="dxa"/>
        <w:bottom w:w="100" w:type="dxa"/>
        <w:right w:w="100" w:type="dxa"/>
      </w:tblCellMar>
    </w:tblPr>
  </w:style>
  <w:style w:type="table" w:customStyle="1" w:styleId="af5">
    <w:basedOn w:val="TableNormal0"/>
    <w:tblPr>
      <w:tblStyleRowBandSize w:val="1"/>
      <w:tblStyleColBandSize w:val="1"/>
      <w:tblCellMar>
        <w:top w:w="100" w:type="dxa"/>
        <w:left w:w="100" w:type="dxa"/>
        <w:bottom w:w="100" w:type="dxa"/>
        <w:right w:w="100" w:type="dxa"/>
      </w:tblCellMar>
    </w:tblPr>
  </w:style>
  <w:style w:type="table" w:customStyle="1" w:styleId="af6">
    <w:basedOn w:val="TableNormal0"/>
    <w:tblPr>
      <w:tblStyleRowBandSize w:val="1"/>
      <w:tblStyleColBandSize w:val="1"/>
      <w:tblCellMar>
        <w:top w:w="100" w:type="dxa"/>
        <w:left w:w="100" w:type="dxa"/>
        <w:bottom w:w="100" w:type="dxa"/>
        <w:right w:w="100" w:type="dxa"/>
      </w:tblCellMar>
    </w:tblPr>
  </w:style>
  <w:style w:type="table" w:customStyle="1" w:styleId="af7">
    <w:basedOn w:val="TableNormal0"/>
    <w:tblPr>
      <w:tblStyleRowBandSize w:val="1"/>
      <w:tblStyleColBandSize w:val="1"/>
      <w:tblCellMar>
        <w:top w:w="100" w:type="dxa"/>
        <w:left w:w="100" w:type="dxa"/>
        <w:bottom w:w="100" w:type="dxa"/>
        <w:right w:w="100" w:type="dxa"/>
      </w:tblCellMar>
    </w:tblPr>
  </w:style>
  <w:style w:type="table" w:customStyle="1" w:styleId="af8">
    <w:basedOn w:val="TableNormal0"/>
    <w:tblPr>
      <w:tblStyleRowBandSize w:val="1"/>
      <w:tblStyleColBandSize w:val="1"/>
      <w:tblCellMar>
        <w:top w:w="100" w:type="dxa"/>
        <w:left w:w="100" w:type="dxa"/>
        <w:bottom w:w="100" w:type="dxa"/>
        <w:right w:w="100" w:type="dxa"/>
      </w:tblCellMar>
    </w:tblPr>
  </w:style>
  <w:style w:type="table" w:customStyle="1" w:styleId="af9">
    <w:basedOn w:val="TableNormal0"/>
    <w:tblPr>
      <w:tblStyleRowBandSize w:val="1"/>
      <w:tblStyleColBandSize w:val="1"/>
      <w:tblCellMar>
        <w:top w:w="100" w:type="dxa"/>
        <w:left w:w="100" w:type="dxa"/>
        <w:bottom w:w="100" w:type="dxa"/>
        <w:right w:w="100" w:type="dxa"/>
      </w:tblCellMar>
    </w:tblPr>
  </w:style>
  <w:style w:type="table" w:customStyle="1" w:styleId="afa">
    <w:basedOn w:val="TableNormal0"/>
    <w:tblPr>
      <w:tblStyleRowBandSize w:val="1"/>
      <w:tblStyleColBandSize w:val="1"/>
      <w:tblCellMar>
        <w:top w:w="100" w:type="dxa"/>
        <w:left w:w="100" w:type="dxa"/>
        <w:bottom w:w="100" w:type="dxa"/>
        <w:right w:w="100" w:type="dxa"/>
      </w:tblCellMar>
    </w:tblPr>
  </w:style>
  <w:style w:type="table" w:customStyle="1" w:styleId="afb">
    <w:basedOn w:val="TableNormal0"/>
    <w:tblPr>
      <w:tblStyleRowBandSize w:val="1"/>
      <w:tblStyleColBandSize w:val="1"/>
      <w:tblCellMar>
        <w:top w:w="100" w:type="dxa"/>
        <w:left w:w="100" w:type="dxa"/>
        <w:bottom w:w="100" w:type="dxa"/>
        <w:right w:w="100" w:type="dxa"/>
      </w:tblCellMar>
    </w:tblPr>
  </w:style>
  <w:style w:type="table" w:customStyle="1" w:styleId="afc">
    <w:basedOn w:val="TableNormal0"/>
    <w:tblPr>
      <w:tblStyleRowBandSize w:val="1"/>
      <w:tblStyleColBandSize w:val="1"/>
      <w:tblCellMar>
        <w:top w:w="100" w:type="dxa"/>
        <w:left w:w="100" w:type="dxa"/>
        <w:bottom w:w="100" w:type="dxa"/>
        <w:right w:w="100" w:type="dxa"/>
      </w:tblCellMar>
    </w:tblPr>
  </w:style>
  <w:style w:type="table" w:customStyle="1" w:styleId="afd">
    <w:basedOn w:val="TableNormal0"/>
    <w:tblPr>
      <w:tblStyleRowBandSize w:val="1"/>
      <w:tblStyleColBandSize w:val="1"/>
      <w:tblCellMar>
        <w:top w:w="100" w:type="dxa"/>
        <w:left w:w="100" w:type="dxa"/>
        <w:bottom w:w="100" w:type="dxa"/>
        <w:right w:w="100" w:type="dxa"/>
      </w:tblCellMar>
    </w:tblPr>
  </w:style>
  <w:style w:type="table" w:customStyle="1" w:styleId="afe">
    <w:basedOn w:val="TableNormal0"/>
    <w:tblPr>
      <w:tblStyleRowBandSize w:val="1"/>
      <w:tblStyleColBandSize w:val="1"/>
      <w:tblCellMar>
        <w:top w:w="100" w:type="dxa"/>
        <w:left w:w="100" w:type="dxa"/>
        <w:bottom w:w="100" w:type="dxa"/>
        <w:right w:w="100" w:type="dxa"/>
      </w:tblCellMar>
    </w:tblPr>
  </w:style>
  <w:style w:type="table" w:customStyle="1" w:styleId="aff">
    <w:basedOn w:val="TableNormal0"/>
    <w:tblPr>
      <w:tblStyleRowBandSize w:val="1"/>
      <w:tblStyleColBandSize w:val="1"/>
      <w:tblCellMar>
        <w:top w:w="100" w:type="dxa"/>
        <w:left w:w="100" w:type="dxa"/>
        <w:bottom w:w="100" w:type="dxa"/>
        <w:right w:w="100" w:type="dxa"/>
      </w:tblCellMar>
    </w:tblPr>
  </w:style>
  <w:style w:type="table" w:customStyle="1" w:styleId="aff0">
    <w:basedOn w:val="TableNormal0"/>
    <w:tblPr>
      <w:tblStyleRowBandSize w:val="1"/>
      <w:tblStyleColBandSize w:val="1"/>
      <w:tblCellMar>
        <w:top w:w="100" w:type="dxa"/>
        <w:left w:w="100" w:type="dxa"/>
        <w:bottom w:w="100" w:type="dxa"/>
        <w:right w:w="100" w:type="dxa"/>
      </w:tblCellMar>
    </w:tblPr>
  </w:style>
  <w:style w:type="table" w:customStyle="1" w:styleId="aff1">
    <w:basedOn w:val="TableNormal0"/>
    <w:tblPr>
      <w:tblStyleRowBandSize w:val="1"/>
      <w:tblStyleColBandSize w:val="1"/>
      <w:tblCellMar>
        <w:top w:w="100" w:type="dxa"/>
        <w:left w:w="100" w:type="dxa"/>
        <w:bottom w:w="100" w:type="dxa"/>
        <w:right w:w="100" w:type="dxa"/>
      </w:tblCellMar>
    </w:tblPr>
  </w:style>
  <w:style w:type="table" w:customStyle="1" w:styleId="aff2">
    <w:basedOn w:val="TableNormal0"/>
    <w:tblPr>
      <w:tblStyleRowBandSize w:val="1"/>
      <w:tblStyleColBandSize w:val="1"/>
      <w:tblCellMar>
        <w:top w:w="100" w:type="dxa"/>
        <w:left w:w="100" w:type="dxa"/>
        <w:bottom w:w="100" w:type="dxa"/>
        <w:right w:w="100" w:type="dxa"/>
      </w:tblCellMar>
    </w:tblPr>
  </w:style>
  <w:style w:type="table" w:customStyle="1" w:styleId="aff3">
    <w:basedOn w:val="TableNormal0"/>
    <w:tblPr>
      <w:tblStyleRowBandSize w:val="1"/>
      <w:tblStyleColBandSize w:val="1"/>
      <w:tblCellMar>
        <w:top w:w="100" w:type="dxa"/>
        <w:left w:w="100" w:type="dxa"/>
        <w:bottom w:w="100" w:type="dxa"/>
        <w:right w:w="100" w:type="dxa"/>
      </w:tblCellMar>
    </w:tblPr>
  </w:style>
  <w:style w:type="table" w:customStyle="1" w:styleId="aff4">
    <w:basedOn w:val="TableNormal0"/>
    <w:tblPr>
      <w:tblStyleRowBandSize w:val="1"/>
      <w:tblStyleColBandSize w:val="1"/>
      <w:tblCellMar>
        <w:top w:w="100" w:type="dxa"/>
        <w:left w:w="100" w:type="dxa"/>
        <w:bottom w:w="100" w:type="dxa"/>
        <w:right w:w="100" w:type="dxa"/>
      </w:tblCellMar>
    </w:tblPr>
  </w:style>
  <w:style w:type="table" w:customStyle="1" w:styleId="aff5">
    <w:basedOn w:val="TableNormal0"/>
    <w:tblPr>
      <w:tblStyleRowBandSize w:val="1"/>
      <w:tblStyleColBandSize w:val="1"/>
      <w:tblCellMar>
        <w:top w:w="0" w:type="dxa"/>
        <w:left w:w="0" w:type="dxa"/>
        <w:bottom w:w="0" w:type="dxa"/>
        <w:right w:w="0" w:type="dxa"/>
      </w:tblCellMar>
    </w:tblPr>
  </w:style>
  <w:style w:type="table" w:customStyle="1" w:styleId="aff6">
    <w:basedOn w:val="TableNormal0"/>
    <w:tblPr>
      <w:tblStyleRowBandSize w:val="1"/>
      <w:tblStyleColBandSize w:val="1"/>
      <w:tblCellMar>
        <w:top w:w="100" w:type="dxa"/>
        <w:left w:w="100" w:type="dxa"/>
        <w:bottom w:w="100" w:type="dxa"/>
        <w:right w:w="100" w:type="dxa"/>
      </w:tblCellMar>
    </w:tblPr>
  </w:style>
  <w:style w:type="table" w:customStyle="1" w:styleId="aff7">
    <w:basedOn w:val="TableNormal0"/>
    <w:tblPr>
      <w:tblStyleRowBandSize w:val="1"/>
      <w:tblStyleColBandSize w:val="1"/>
      <w:tblCellMar>
        <w:top w:w="100" w:type="dxa"/>
        <w:left w:w="100" w:type="dxa"/>
        <w:bottom w:w="100" w:type="dxa"/>
        <w:right w:w="100" w:type="dxa"/>
      </w:tblCellMar>
    </w:tblPr>
  </w:style>
  <w:style w:type="table" w:customStyle="1" w:styleId="aff8">
    <w:basedOn w:val="TableNormal0"/>
    <w:tblPr>
      <w:tblStyleRowBandSize w:val="1"/>
      <w:tblStyleColBandSize w:val="1"/>
      <w:tblCellMar>
        <w:top w:w="100" w:type="dxa"/>
        <w:left w:w="100" w:type="dxa"/>
        <w:bottom w:w="100" w:type="dxa"/>
        <w:right w:w="100" w:type="dxa"/>
      </w:tblCellMar>
    </w:tblPr>
  </w:style>
  <w:style w:type="table" w:customStyle="1" w:styleId="aff9">
    <w:basedOn w:val="TableNormal0"/>
    <w:tblPr>
      <w:tblStyleRowBandSize w:val="1"/>
      <w:tblStyleColBandSize w:val="1"/>
      <w:tblCellMar>
        <w:top w:w="100" w:type="dxa"/>
        <w:left w:w="100" w:type="dxa"/>
        <w:bottom w:w="100" w:type="dxa"/>
        <w:right w:w="100" w:type="dxa"/>
      </w:tblCellMar>
    </w:tblPr>
  </w:style>
  <w:style w:type="table" w:customStyle="1" w:styleId="affa">
    <w:basedOn w:val="TableNormal0"/>
    <w:tblPr>
      <w:tblStyleRowBandSize w:val="1"/>
      <w:tblStyleColBandSize w:val="1"/>
      <w:tblCellMar>
        <w:top w:w="100" w:type="dxa"/>
        <w:left w:w="100" w:type="dxa"/>
        <w:bottom w:w="100" w:type="dxa"/>
        <w:right w:w="100" w:type="dxa"/>
      </w:tblCellMar>
    </w:tblPr>
  </w:style>
  <w:style w:type="table" w:customStyle="1" w:styleId="affb">
    <w:basedOn w:val="TableNormal0"/>
    <w:tblPr>
      <w:tblStyleRowBandSize w:val="1"/>
      <w:tblStyleColBandSize w:val="1"/>
      <w:tblCellMar>
        <w:top w:w="100" w:type="dxa"/>
        <w:left w:w="100" w:type="dxa"/>
        <w:bottom w:w="100" w:type="dxa"/>
        <w:right w:w="100" w:type="dxa"/>
      </w:tblCellMar>
    </w:tblPr>
  </w:style>
  <w:style w:type="table" w:customStyle="1" w:styleId="affc">
    <w:basedOn w:val="TableNormal0"/>
    <w:tblPr>
      <w:tblStyleRowBandSize w:val="1"/>
      <w:tblStyleColBandSize w:val="1"/>
      <w:tblCellMar>
        <w:top w:w="100" w:type="dxa"/>
        <w:left w:w="100" w:type="dxa"/>
        <w:bottom w:w="100" w:type="dxa"/>
        <w:right w:w="100" w:type="dxa"/>
      </w:tblCellMar>
    </w:tblPr>
  </w:style>
  <w:style w:type="table" w:customStyle="1" w:styleId="affd">
    <w:basedOn w:val="TableNormal0"/>
    <w:tblPr>
      <w:tblStyleRowBandSize w:val="1"/>
      <w:tblStyleColBandSize w:val="1"/>
      <w:tblCellMar>
        <w:top w:w="100" w:type="dxa"/>
        <w:left w:w="100" w:type="dxa"/>
        <w:bottom w:w="100" w:type="dxa"/>
        <w:right w:w="100" w:type="dxa"/>
      </w:tblCellMar>
    </w:tblPr>
  </w:style>
  <w:style w:type="table" w:customStyle="1" w:styleId="affe">
    <w:basedOn w:val="TableNormal0"/>
    <w:tblPr>
      <w:tblStyleRowBandSize w:val="1"/>
      <w:tblStyleColBandSize w:val="1"/>
      <w:tblCellMar>
        <w:top w:w="100" w:type="dxa"/>
        <w:left w:w="100" w:type="dxa"/>
        <w:bottom w:w="100" w:type="dxa"/>
        <w:right w:w="100" w:type="dxa"/>
      </w:tblCellMar>
    </w:tblPr>
  </w:style>
  <w:style w:type="table" w:customStyle="1" w:styleId="afff">
    <w:basedOn w:val="TableNormal0"/>
    <w:tblPr>
      <w:tblStyleRowBandSize w:val="1"/>
      <w:tblStyleColBandSize w:val="1"/>
      <w:tblCellMar>
        <w:top w:w="100" w:type="dxa"/>
        <w:left w:w="100" w:type="dxa"/>
        <w:bottom w:w="100" w:type="dxa"/>
        <w:right w:w="100" w:type="dxa"/>
      </w:tblCellMar>
    </w:tblPr>
  </w:style>
  <w:style w:type="table" w:customStyle="1" w:styleId="afff0">
    <w:basedOn w:val="TableNormal0"/>
    <w:tblPr>
      <w:tblStyleRowBandSize w:val="1"/>
      <w:tblStyleColBandSize w:val="1"/>
      <w:tblCellMar>
        <w:top w:w="0" w:type="dxa"/>
        <w:left w:w="0" w:type="dxa"/>
        <w:bottom w:w="0" w:type="dxa"/>
        <w:right w:w="0" w:type="dxa"/>
      </w:tblCellMar>
    </w:tblPr>
  </w:style>
  <w:style w:type="table" w:customStyle="1" w:styleId="afff1">
    <w:basedOn w:val="TableNormal0"/>
    <w:tblPr>
      <w:tblStyleRowBandSize w:val="1"/>
      <w:tblStyleColBandSize w:val="1"/>
      <w:tblCellMar>
        <w:top w:w="100" w:type="dxa"/>
        <w:left w:w="100" w:type="dxa"/>
        <w:bottom w:w="100" w:type="dxa"/>
        <w:right w:w="100" w:type="dxa"/>
      </w:tblCellMar>
    </w:tblPr>
  </w:style>
  <w:style w:type="table" w:customStyle="1" w:styleId="afff2">
    <w:basedOn w:val="TableNormal0"/>
    <w:tblPr>
      <w:tblStyleRowBandSize w:val="1"/>
      <w:tblStyleColBandSize w:val="1"/>
      <w:tblCellMar>
        <w:top w:w="0" w:type="dxa"/>
        <w:left w:w="70" w:type="dxa"/>
        <w:bottom w:w="0" w:type="dxa"/>
        <w:right w:w="70" w:type="dxa"/>
      </w:tblCellMar>
    </w:tblPr>
  </w:style>
  <w:style w:type="table" w:customStyle="1" w:styleId="afff3">
    <w:basedOn w:val="TableNormal0"/>
    <w:tblPr>
      <w:tblStyleRowBandSize w:val="1"/>
      <w:tblStyleColBandSize w:val="1"/>
      <w:tblCellMar>
        <w:top w:w="100" w:type="dxa"/>
        <w:left w:w="100" w:type="dxa"/>
        <w:bottom w:w="100" w:type="dxa"/>
        <w:right w:w="100" w:type="dxa"/>
      </w:tblCellMar>
    </w:tblPr>
  </w:style>
  <w:style w:type="table" w:customStyle="1" w:styleId="afff4">
    <w:basedOn w:val="TableNormal0"/>
    <w:tblPr>
      <w:tblStyleRowBandSize w:val="1"/>
      <w:tblStyleColBandSize w:val="1"/>
      <w:tblCellMar>
        <w:top w:w="0" w:type="dxa"/>
        <w:left w:w="70" w:type="dxa"/>
        <w:bottom w:w="0" w:type="dxa"/>
        <w:right w:w="70" w:type="dxa"/>
      </w:tblCellMar>
    </w:tblPr>
  </w:style>
  <w:style w:type="table" w:customStyle="1" w:styleId="afff5">
    <w:basedOn w:val="TableNormal0"/>
    <w:tblPr>
      <w:tblStyleRowBandSize w:val="1"/>
      <w:tblStyleColBandSize w:val="1"/>
      <w:tblCellMar>
        <w:top w:w="100" w:type="dxa"/>
        <w:left w:w="100" w:type="dxa"/>
        <w:bottom w:w="100" w:type="dxa"/>
        <w:right w:w="100" w:type="dxa"/>
      </w:tblCellMar>
    </w:tblPr>
  </w:style>
  <w:style w:type="table" w:customStyle="1" w:styleId="afff6">
    <w:basedOn w:val="TableNormal0"/>
    <w:tblPr>
      <w:tblStyleRowBandSize w:val="1"/>
      <w:tblStyleColBandSize w:val="1"/>
      <w:tblCellMar>
        <w:top w:w="0" w:type="dxa"/>
        <w:left w:w="70" w:type="dxa"/>
        <w:bottom w:w="0" w:type="dxa"/>
        <w:right w:w="70" w:type="dxa"/>
      </w:tblCellMar>
    </w:tblPr>
  </w:style>
  <w:style w:type="table" w:customStyle="1" w:styleId="afff7">
    <w:basedOn w:val="TableNormal0"/>
    <w:tblPr>
      <w:tblStyleRowBandSize w:val="1"/>
      <w:tblStyleColBandSize w:val="1"/>
      <w:tblCellMar>
        <w:top w:w="100" w:type="dxa"/>
        <w:left w:w="100" w:type="dxa"/>
        <w:bottom w:w="100" w:type="dxa"/>
        <w:right w:w="100" w:type="dxa"/>
      </w:tblCellMar>
    </w:tblPr>
  </w:style>
  <w:style w:type="table" w:customStyle="1" w:styleId="afff8">
    <w:basedOn w:val="TableNormal0"/>
    <w:tblPr>
      <w:tblStyleRowBandSize w:val="1"/>
      <w:tblStyleColBandSize w:val="1"/>
      <w:tblCellMar>
        <w:top w:w="0" w:type="dxa"/>
        <w:left w:w="70" w:type="dxa"/>
        <w:bottom w:w="0" w:type="dxa"/>
        <w:right w:w="70" w:type="dxa"/>
      </w:tblCellMar>
    </w:tblPr>
  </w:style>
  <w:style w:type="table" w:customStyle="1" w:styleId="afff9">
    <w:basedOn w:val="TableNormal0"/>
    <w:tblPr>
      <w:tblStyleRowBandSize w:val="1"/>
      <w:tblStyleColBandSize w:val="1"/>
      <w:tblCellMar>
        <w:top w:w="100" w:type="dxa"/>
        <w:left w:w="100" w:type="dxa"/>
        <w:bottom w:w="100" w:type="dxa"/>
        <w:right w:w="100" w:type="dxa"/>
      </w:tblCellMar>
    </w:tblPr>
  </w:style>
  <w:style w:type="table" w:customStyle="1" w:styleId="afffa">
    <w:basedOn w:val="TableNormal0"/>
    <w:tblPr>
      <w:tblStyleRowBandSize w:val="1"/>
      <w:tblStyleColBandSize w:val="1"/>
      <w:tblCellMar>
        <w:top w:w="0" w:type="dxa"/>
        <w:left w:w="70" w:type="dxa"/>
        <w:bottom w:w="0" w:type="dxa"/>
        <w:right w:w="70" w:type="dxa"/>
      </w:tblCellMar>
    </w:tblPr>
  </w:style>
  <w:style w:type="table" w:customStyle="1" w:styleId="afffb">
    <w:basedOn w:val="TableNormal0"/>
    <w:tblPr>
      <w:tblStyleRowBandSize w:val="1"/>
      <w:tblStyleColBandSize w:val="1"/>
      <w:tblCellMar>
        <w:top w:w="0" w:type="dxa"/>
        <w:left w:w="0" w:type="dxa"/>
        <w:bottom w:w="0" w:type="dxa"/>
        <w:right w:w="0" w:type="dxa"/>
      </w:tblCellMar>
    </w:tblPr>
  </w:style>
  <w:style w:type="table" w:customStyle="1" w:styleId="afffc">
    <w:basedOn w:val="TableNormal0"/>
    <w:tblPr>
      <w:tblStyleRowBandSize w:val="1"/>
      <w:tblStyleColBandSize w:val="1"/>
      <w:tblCellMar>
        <w:top w:w="100" w:type="dxa"/>
        <w:left w:w="100" w:type="dxa"/>
        <w:bottom w:w="100" w:type="dxa"/>
        <w:right w:w="100" w:type="dxa"/>
      </w:tblCellMar>
    </w:tblPr>
  </w:style>
  <w:style w:type="table" w:customStyle="1" w:styleId="afffd">
    <w:basedOn w:val="TableNormal0"/>
    <w:tblPr>
      <w:tblStyleRowBandSize w:val="1"/>
      <w:tblStyleColBandSize w:val="1"/>
      <w:tblCellMar>
        <w:top w:w="100" w:type="dxa"/>
        <w:left w:w="100" w:type="dxa"/>
        <w:bottom w:w="100" w:type="dxa"/>
        <w:right w:w="100" w:type="dxa"/>
      </w:tblCellMar>
    </w:tblPr>
  </w:style>
  <w:style w:type="table" w:customStyle="1" w:styleId="afffe">
    <w:basedOn w:val="TableNormal0"/>
    <w:tblPr>
      <w:tblStyleRowBandSize w:val="1"/>
      <w:tblStyleColBandSize w:val="1"/>
      <w:tblCellMar>
        <w:top w:w="100" w:type="dxa"/>
        <w:left w:w="100" w:type="dxa"/>
        <w:bottom w:w="100" w:type="dxa"/>
        <w:right w:w="100" w:type="dxa"/>
      </w:tblCellMar>
    </w:tblPr>
  </w:style>
  <w:style w:type="table" w:customStyle="1" w:styleId="affff">
    <w:basedOn w:val="TableNormal0"/>
    <w:tblPr>
      <w:tblStyleRowBandSize w:val="1"/>
      <w:tblStyleColBandSize w:val="1"/>
      <w:tblCellMar>
        <w:top w:w="100" w:type="dxa"/>
        <w:left w:w="100" w:type="dxa"/>
        <w:bottom w:w="100" w:type="dxa"/>
        <w:right w:w="100" w:type="dxa"/>
      </w:tblCellMar>
    </w:tblPr>
  </w:style>
  <w:style w:type="table" w:customStyle="1" w:styleId="affff0">
    <w:basedOn w:val="TableNormal0"/>
    <w:tblPr>
      <w:tblStyleRowBandSize w:val="1"/>
      <w:tblStyleColBandSize w:val="1"/>
      <w:tblCellMar>
        <w:top w:w="100" w:type="dxa"/>
        <w:left w:w="100" w:type="dxa"/>
        <w:bottom w:w="100" w:type="dxa"/>
        <w:right w:w="100" w:type="dxa"/>
      </w:tblCellMar>
    </w:tblPr>
  </w:style>
  <w:style w:type="table" w:customStyle="1" w:styleId="affff1">
    <w:basedOn w:val="TableNormal0"/>
    <w:tblPr>
      <w:tblStyleRowBandSize w:val="1"/>
      <w:tblStyleColBandSize w:val="1"/>
      <w:tblCellMar>
        <w:top w:w="100" w:type="dxa"/>
        <w:left w:w="100" w:type="dxa"/>
        <w:bottom w:w="100" w:type="dxa"/>
        <w:right w:w="100" w:type="dxa"/>
      </w:tblCellMar>
    </w:tblPr>
  </w:style>
  <w:style w:type="table" w:customStyle="1" w:styleId="affff2">
    <w:basedOn w:val="TableNormal0"/>
    <w:tblPr>
      <w:tblStyleRowBandSize w:val="1"/>
      <w:tblStyleColBandSize w:val="1"/>
      <w:tblCellMar>
        <w:top w:w="100" w:type="dxa"/>
        <w:left w:w="100" w:type="dxa"/>
        <w:bottom w:w="100" w:type="dxa"/>
        <w:right w:w="100" w:type="dxa"/>
      </w:tblCellMar>
    </w:tblPr>
  </w:style>
  <w:style w:type="table" w:customStyle="1" w:styleId="affff3">
    <w:basedOn w:val="TableNormal0"/>
    <w:tblPr>
      <w:tblStyleRowBandSize w:val="1"/>
      <w:tblStyleColBandSize w:val="1"/>
      <w:tblCellMar>
        <w:top w:w="100" w:type="dxa"/>
        <w:left w:w="100" w:type="dxa"/>
        <w:bottom w:w="100" w:type="dxa"/>
        <w:right w:w="100" w:type="dxa"/>
      </w:tblCellMar>
    </w:tblPr>
  </w:style>
  <w:style w:type="table" w:customStyle="1" w:styleId="affff4">
    <w:basedOn w:val="TableNormal0"/>
    <w:tblPr>
      <w:tblStyleRowBandSize w:val="1"/>
      <w:tblStyleColBandSize w:val="1"/>
      <w:tblCellMar>
        <w:top w:w="100" w:type="dxa"/>
        <w:left w:w="100" w:type="dxa"/>
        <w:bottom w:w="100" w:type="dxa"/>
        <w:right w:w="100" w:type="dxa"/>
      </w:tblCellMar>
    </w:tblPr>
  </w:style>
  <w:style w:type="table" w:customStyle="1" w:styleId="affff5">
    <w:basedOn w:val="TableNormal0"/>
    <w:tblPr>
      <w:tblStyleRowBandSize w:val="1"/>
      <w:tblStyleColBandSize w:val="1"/>
      <w:tblCellMar>
        <w:top w:w="100" w:type="dxa"/>
        <w:left w:w="100" w:type="dxa"/>
        <w:bottom w:w="100" w:type="dxa"/>
        <w:right w:w="100" w:type="dxa"/>
      </w:tblCellMar>
    </w:tblPr>
  </w:style>
  <w:style w:type="table" w:customStyle="1" w:styleId="affff6">
    <w:basedOn w:val="TableNormal0"/>
    <w:tblPr>
      <w:tblStyleRowBandSize w:val="1"/>
      <w:tblStyleColBandSize w:val="1"/>
      <w:tblCellMar>
        <w:top w:w="100" w:type="dxa"/>
        <w:left w:w="100" w:type="dxa"/>
        <w:bottom w:w="100" w:type="dxa"/>
        <w:right w:w="100" w:type="dxa"/>
      </w:tblCellMar>
    </w:tblPr>
  </w:style>
  <w:style w:type="table" w:customStyle="1" w:styleId="affff7">
    <w:basedOn w:val="TableNormal0"/>
    <w:tblPr>
      <w:tblStyleRowBandSize w:val="1"/>
      <w:tblStyleColBandSize w:val="1"/>
      <w:tblCellMar>
        <w:top w:w="100" w:type="dxa"/>
        <w:left w:w="100" w:type="dxa"/>
        <w:bottom w:w="100" w:type="dxa"/>
        <w:right w:w="100" w:type="dxa"/>
      </w:tblCellMar>
    </w:tblPr>
  </w:style>
  <w:style w:type="table" w:customStyle="1" w:styleId="affff8">
    <w:basedOn w:val="TableNormal0"/>
    <w:tblPr>
      <w:tblStyleRowBandSize w:val="1"/>
      <w:tblStyleColBandSize w:val="1"/>
      <w:tblCellMar>
        <w:top w:w="100" w:type="dxa"/>
        <w:left w:w="100" w:type="dxa"/>
        <w:bottom w:w="100" w:type="dxa"/>
        <w:right w:w="100" w:type="dxa"/>
      </w:tblCellMar>
    </w:tblPr>
  </w:style>
  <w:style w:type="table" w:customStyle="1" w:styleId="affff9">
    <w:basedOn w:val="TableNormal0"/>
    <w:tblPr>
      <w:tblStyleRowBandSize w:val="1"/>
      <w:tblStyleColBandSize w:val="1"/>
      <w:tblCellMar>
        <w:top w:w="100" w:type="dxa"/>
        <w:left w:w="100" w:type="dxa"/>
        <w:bottom w:w="100" w:type="dxa"/>
        <w:right w:w="100" w:type="dxa"/>
      </w:tblCellMar>
    </w:tblPr>
  </w:style>
  <w:style w:type="table" w:customStyle="1" w:styleId="affffa">
    <w:basedOn w:val="TableNormal0"/>
    <w:tblPr>
      <w:tblStyleRowBandSize w:val="1"/>
      <w:tblStyleColBandSize w:val="1"/>
      <w:tblCellMar>
        <w:top w:w="100" w:type="dxa"/>
        <w:left w:w="100" w:type="dxa"/>
        <w:bottom w:w="100" w:type="dxa"/>
        <w:right w:w="100" w:type="dxa"/>
      </w:tblCellMar>
    </w:tblPr>
  </w:style>
  <w:style w:type="table" w:customStyle="1" w:styleId="affffb">
    <w:basedOn w:val="TableNormal0"/>
    <w:tblPr>
      <w:tblStyleRowBandSize w:val="1"/>
      <w:tblStyleColBandSize w:val="1"/>
      <w:tblCellMar>
        <w:top w:w="100" w:type="dxa"/>
        <w:left w:w="100" w:type="dxa"/>
        <w:bottom w:w="100" w:type="dxa"/>
        <w:right w:w="100" w:type="dxa"/>
      </w:tblCellMar>
    </w:tblPr>
  </w:style>
  <w:style w:type="table" w:customStyle="1" w:styleId="affffc">
    <w:basedOn w:val="TableNormal0"/>
    <w:tblPr>
      <w:tblStyleRowBandSize w:val="1"/>
      <w:tblStyleColBandSize w:val="1"/>
      <w:tblCellMar>
        <w:top w:w="100" w:type="dxa"/>
        <w:left w:w="100" w:type="dxa"/>
        <w:bottom w:w="100" w:type="dxa"/>
        <w:right w:w="100" w:type="dxa"/>
      </w:tblCellMar>
    </w:tblPr>
  </w:style>
  <w:style w:type="table" w:customStyle="1" w:styleId="affffd">
    <w:basedOn w:val="TableNormal0"/>
    <w:tblPr>
      <w:tblStyleRowBandSize w:val="1"/>
      <w:tblStyleColBandSize w:val="1"/>
      <w:tblCellMar>
        <w:top w:w="0" w:type="dxa"/>
        <w:left w:w="0" w:type="dxa"/>
        <w:bottom w:w="0" w:type="dxa"/>
        <w:right w:w="0" w:type="dxa"/>
      </w:tblCellMar>
    </w:tblPr>
  </w:style>
  <w:style w:type="table" w:customStyle="1" w:styleId="affffe">
    <w:basedOn w:val="TableNormal0"/>
    <w:tblPr>
      <w:tblStyleRowBandSize w:val="1"/>
      <w:tblStyleColBandSize w:val="1"/>
      <w:tblCellMar>
        <w:top w:w="100" w:type="dxa"/>
        <w:left w:w="100" w:type="dxa"/>
        <w:bottom w:w="100" w:type="dxa"/>
        <w:right w:w="100" w:type="dxa"/>
      </w:tblCellMar>
    </w:tblPr>
  </w:style>
  <w:style w:type="table" w:customStyle="1" w:styleId="afffff">
    <w:basedOn w:val="TableNormal0"/>
    <w:tblPr>
      <w:tblStyleRowBandSize w:val="1"/>
      <w:tblStyleColBandSize w:val="1"/>
      <w:tblCellMar>
        <w:top w:w="100" w:type="dxa"/>
        <w:left w:w="100" w:type="dxa"/>
        <w:bottom w:w="100" w:type="dxa"/>
        <w:right w:w="100" w:type="dxa"/>
      </w:tblCellMar>
    </w:tblPr>
  </w:style>
  <w:style w:type="table" w:customStyle="1" w:styleId="afffff0">
    <w:basedOn w:val="TableNormal0"/>
    <w:tblPr>
      <w:tblStyleRowBandSize w:val="1"/>
      <w:tblStyleColBandSize w:val="1"/>
      <w:tblCellMar>
        <w:top w:w="100" w:type="dxa"/>
        <w:left w:w="100" w:type="dxa"/>
        <w:bottom w:w="100" w:type="dxa"/>
        <w:right w:w="100" w:type="dxa"/>
      </w:tblCellMar>
    </w:tblPr>
  </w:style>
  <w:style w:type="table" w:customStyle="1" w:styleId="afffff1">
    <w:basedOn w:val="TableNormal0"/>
    <w:tblPr>
      <w:tblStyleRowBandSize w:val="1"/>
      <w:tblStyleColBandSize w:val="1"/>
      <w:tblCellMar>
        <w:top w:w="100" w:type="dxa"/>
        <w:left w:w="100" w:type="dxa"/>
        <w:bottom w:w="100" w:type="dxa"/>
        <w:right w:w="100" w:type="dxa"/>
      </w:tblCellMar>
    </w:tblPr>
  </w:style>
  <w:style w:type="table" w:customStyle="1" w:styleId="afffff2">
    <w:basedOn w:val="TableNormal0"/>
    <w:tblPr>
      <w:tblStyleRowBandSize w:val="1"/>
      <w:tblStyleColBandSize w:val="1"/>
      <w:tblCellMar>
        <w:top w:w="100" w:type="dxa"/>
        <w:left w:w="100" w:type="dxa"/>
        <w:bottom w:w="100" w:type="dxa"/>
        <w:right w:w="100" w:type="dxa"/>
      </w:tblCellMar>
    </w:tblPr>
  </w:style>
  <w:style w:type="table" w:customStyle="1" w:styleId="afffff3">
    <w:basedOn w:val="TableNormal0"/>
    <w:tblPr>
      <w:tblStyleRowBandSize w:val="1"/>
      <w:tblStyleColBandSize w:val="1"/>
      <w:tblCellMar>
        <w:top w:w="100" w:type="dxa"/>
        <w:left w:w="100" w:type="dxa"/>
        <w:bottom w:w="100" w:type="dxa"/>
        <w:right w:w="100" w:type="dxa"/>
      </w:tblCellMar>
    </w:tblPr>
  </w:style>
  <w:style w:type="table" w:customStyle="1" w:styleId="afffff4">
    <w:basedOn w:val="TableNormal0"/>
    <w:tblPr>
      <w:tblStyleRowBandSize w:val="1"/>
      <w:tblStyleColBandSize w:val="1"/>
      <w:tblCellMar>
        <w:top w:w="100" w:type="dxa"/>
        <w:left w:w="100" w:type="dxa"/>
        <w:bottom w:w="100" w:type="dxa"/>
        <w:right w:w="100" w:type="dxa"/>
      </w:tblCellMar>
    </w:tblPr>
  </w:style>
  <w:style w:type="table" w:customStyle="1" w:styleId="afffff5">
    <w:basedOn w:val="TableNormal0"/>
    <w:tblPr>
      <w:tblStyleRowBandSize w:val="1"/>
      <w:tblStyleColBandSize w:val="1"/>
      <w:tblCellMar>
        <w:top w:w="100" w:type="dxa"/>
        <w:left w:w="100" w:type="dxa"/>
        <w:bottom w:w="100" w:type="dxa"/>
        <w:right w:w="100" w:type="dxa"/>
      </w:tblCellMar>
    </w:tblPr>
  </w:style>
  <w:style w:type="table" w:customStyle="1" w:styleId="afffff6">
    <w:basedOn w:val="TableNormal0"/>
    <w:tblPr>
      <w:tblStyleRowBandSize w:val="1"/>
      <w:tblStyleColBandSize w:val="1"/>
      <w:tblCellMar>
        <w:top w:w="100" w:type="dxa"/>
        <w:left w:w="100" w:type="dxa"/>
        <w:bottom w:w="100" w:type="dxa"/>
        <w:right w:w="100" w:type="dxa"/>
      </w:tblCellMar>
    </w:tblPr>
  </w:style>
  <w:style w:type="table" w:customStyle="1" w:styleId="afffff7">
    <w:basedOn w:val="TableNormal0"/>
    <w:tblPr>
      <w:tblStyleRowBandSize w:val="1"/>
      <w:tblStyleColBandSize w:val="1"/>
      <w:tblCellMar>
        <w:top w:w="100" w:type="dxa"/>
        <w:left w:w="100" w:type="dxa"/>
        <w:bottom w:w="100" w:type="dxa"/>
        <w:right w:w="100" w:type="dxa"/>
      </w:tblCellMar>
    </w:tblPr>
  </w:style>
  <w:style w:type="table" w:customStyle="1" w:styleId="afffff8">
    <w:basedOn w:val="TableNormal0"/>
    <w:tblPr>
      <w:tblStyleRowBandSize w:val="1"/>
      <w:tblStyleColBandSize w:val="1"/>
      <w:tblCellMar>
        <w:top w:w="100" w:type="dxa"/>
        <w:left w:w="100" w:type="dxa"/>
        <w:bottom w:w="100" w:type="dxa"/>
        <w:right w:w="100" w:type="dxa"/>
      </w:tblCellMar>
    </w:tblPr>
  </w:style>
  <w:style w:type="table" w:customStyle="1" w:styleId="afffff9">
    <w:basedOn w:val="TableNormal0"/>
    <w:tblPr>
      <w:tblStyleRowBandSize w:val="1"/>
      <w:tblStyleColBandSize w:val="1"/>
      <w:tblCellMar>
        <w:top w:w="100" w:type="dxa"/>
        <w:left w:w="100" w:type="dxa"/>
        <w:bottom w:w="100" w:type="dxa"/>
        <w:right w:w="100" w:type="dxa"/>
      </w:tblCellMar>
    </w:tblPr>
  </w:style>
  <w:style w:type="table" w:customStyle="1" w:styleId="afffffa">
    <w:basedOn w:val="TableNormal0"/>
    <w:tblPr>
      <w:tblStyleRowBandSize w:val="1"/>
      <w:tblStyleColBandSize w:val="1"/>
      <w:tblCellMar>
        <w:top w:w="100" w:type="dxa"/>
        <w:left w:w="100" w:type="dxa"/>
        <w:bottom w:w="100" w:type="dxa"/>
        <w:right w:w="100" w:type="dxa"/>
      </w:tblCellMar>
    </w:tblPr>
  </w:style>
  <w:style w:type="table" w:customStyle="1" w:styleId="afffffb">
    <w:basedOn w:val="TableNormal0"/>
    <w:tblPr>
      <w:tblStyleRowBandSize w:val="1"/>
      <w:tblStyleColBandSize w:val="1"/>
      <w:tblCellMar>
        <w:top w:w="100" w:type="dxa"/>
        <w:left w:w="100" w:type="dxa"/>
        <w:bottom w:w="100" w:type="dxa"/>
        <w:right w:w="100" w:type="dxa"/>
      </w:tblCellMar>
    </w:tblPr>
  </w:style>
  <w:style w:type="table" w:customStyle="1" w:styleId="afffffc">
    <w:basedOn w:val="TableNormal0"/>
    <w:tblPr>
      <w:tblStyleRowBandSize w:val="1"/>
      <w:tblStyleColBandSize w:val="1"/>
      <w:tblCellMar>
        <w:top w:w="100" w:type="dxa"/>
        <w:left w:w="100" w:type="dxa"/>
        <w:bottom w:w="100" w:type="dxa"/>
        <w:right w:w="100" w:type="dxa"/>
      </w:tblCellMar>
    </w:tblPr>
  </w:style>
  <w:style w:type="table" w:customStyle="1" w:styleId="afffffd">
    <w:basedOn w:val="TableNormal0"/>
    <w:tblPr>
      <w:tblStyleRowBandSize w:val="1"/>
      <w:tblStyleColBandSize w:val="1"/>
      <w:tblCellMar>
        <w:top w:w="100" w:type="dxa"/>
        <w:left w:w="100" w:type="dxa"/>
        <w:bottom w:w="100" w:type="dxa"/>
        <w:right w:w="100" w:type="dxa"/>
      </w:tblCellMar>
    </w:tblPr>
  </w:style>
  <w:style w:type="table" w:customStyle="1" w:styleId="afffffe">
    <w:basedOn w:val="TableNormal0"/>
    <w:tblPr>
      <w:tblStyleRowBandSize w:val="1"/>
      <w:tblStyleColBandSize w:val="1"/>
      <w:tblCellMar>
        <w:top w:w="0" w:type="dxa"/>
        <w:left w:w="0" w:type="dxa"/>
        <w:bottom w:w="0" w:type="dxa"/>
        <w:right w:w="0" w:type="dxa"/>
      </w:tblCellMar>
    </w:tblPr>
  </w:style>
  <w:style w:type="table" w:customStyle="1" w:styleId="affffff">
    <w:basedOn w:val="TableNormal0"/>
    <w:tblPr>
      <w:tblStyleRowBandSize w:val="1"/>
      <w:tblStyleColBandSize w:val="1"/>
      <w:tblCellMar>
        <w:top w:w="100" w:type="dxa"/>
        <w:left w:w="100" w:type="dxa"/>
        <w:bottom w:w="100" w:type="dxa"/>
        <w:right w:w="100" w:type="dxa"/>
      </w:tblCellMar>
    </w:tblPr>
  </w:style>
  <w:style w:type="table" w:customStyle="1" w:styleId="affffff0">
    <w:basedOn w:val="TableNormal0"/>
    <w:tblPr>
      <w:tblStyleRowBandSize w:val="1"/>
      <w:tblStyleColBandSize w:val="1"/>
      <w:tblCellMar>
        <w:top w:w="100" w:type="dxa"/>
        <w:left w:w="100" w:type="dxa"/>
        <w:bottom w:w="100" w:type="dxa"/>
        <w:right w:w="100" w:type="dxa"/>
      </w:tblCellMar>
    </w:tblPr>
  </w:style>
  <w:style w:type="table" w:customStyle="1" w:styleId="affffff1">
    <w:basedOn w:val="TableNormal0"/>
    <w:tblPr>
      <w:tblStyleRowBandSize w:val="1"/>
      <w:tblStyleColBandSize w:val="1"/>
      <w:tblCellMar>
        <w:top w:w="0" w:type="dxa"/>
        <w:left w:w="70" w:type="dxa"/>
        <w:bottom w:w="0" w:type="dxa"/>
        <w:right w:w="70" w:type="dxa"/>
      </w:tblCellMar>
    </w:tblPr>
  </w:style>
  <w:style w:type="table" w:customStyle="1" w:styleId="affffff2">
    <w:basedOn w:val="TableNormal0"/>
    <w:tblPr>
      <w:tblStyleRowBandSize w:val="1"/>
      <w:tblStyleColBandSize w:val="1"/>
      <w:tblCellMar>
        <w:top w:w="100" w:type="dxa"/>
        <w:left w:w="100" w:type="dxa"/>
        <w:bottom w:w="100" w:type="dxa"/>
        <w:right w:w="100" w:type="dxa"/>
      </w:tblCellMar>
    </w:tblPr>
  </w:style>
  <w:style w:type="table" w:customStyle="1" w:styleId="affffff3">
    <w:basedOn w:val="TableNormal0"/>
    <w:tblPr>
      <w:tblStyleRowBandSize w:val="1"/>
      <w:tblStyleColBandSize w:val="1"/>
      <w:tblCellMar>
        <w:top w:w="0" w:type="dxa"/>
        <w:left w:w="70" w:type="dxa"/>
        <w:bottom w:w="0" w:type="dxa"/>
        <w:right w:w="70" w:type="dxa"/>
      </w:tblCellMar>
    </w:tblPr>
  </w:style>
  <w:style w:type="table" w:customStyle="1" w:styleId="affffff4">
    <w:basedOn w:val="TableNormal0"/>
    <w:tblPr>
      <w:tblStyleRowBandSize w:val="1"/>
      <w:tblStyleColBandSize w:val="1"/>
      <w:tblCellMar>
        <w:top w:w="100" w:type="dxa"/>
        <w:left w:w="100" w:type="dxa"/>
        <w:bottom w:w="100" w:type="dxa"/>
        <w:right w:w="100" w:type="dxa"/>
      </w:tblCellMar>
    </w:tblPr>
  </w:style>
  <w:style w:type="table" w:customStyle="1" w:styleId="affffff5">
    <w:basedOn w:val="TableNormal0"/>
    <w:tblPr>
      <w:tblStyleRowBandSize w:val="1"/>
      <w:tblStyleColBandSize w:val="1"/>
      <w:tblCellMar>
        <w:top w:w="100" w:type="dxa"/>
        <w:left w:w="100" w:type="dxa"/>
        <w:bottom w:w="100" w:type="dxa"/>
        <w:right w:w="100" w:type="dxa"/>
      </w:tblCellMar>
    </w:tblPr>
  </w:style>
  <w:style w:type="table" w:customStyle="1" w:styleId="affffff6">
    <w:basedOn w:val="TableNormal0"/>
    <w:tblPr>
      <w:tblStyleRowBandSize w:val="1"/>
      <w:tblStyleColBandSize w:val="1"/>
      <w:tblCellMar>
        <w:top w:w="100" w:type="dxa"/>
        <w:left w:w="100" w:type="dxa"/>
        <w:bottom w:w="100" w:type="dxa"/>
        <w:right w:w="100" w:type="dxa"/>
      </w:tblCellMar>
    </w:tblPr>
  </w:style>
  <w:style w:type="table" w:customStyle="1" w:styleId="affffff7">
    <w:basedOn w:val="TableNormal0"/>
    <w:tblPr>
      <w:tblStyleRowBandSize w:val="1"/>
      <w:tblStyleColBandSize w:val="1"/>
      <w:tblCellMar>
        <w:top w:w="0" w:type="dxa"/>
        <w:left w:w="70" w:type="dxa"/>
        <w:bottom w:w="0" w:type="dxa"/>
        <w:right w:w="7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86421020">
      <w:bodyDiv w:val="1"/>
      <w:marLeft w:val="0"/>
      <w:marRight w:val="0"/>
      <w:marTop w:val="0"/>
      <w:marBottom w:val="0"/>
      <w:divBdr>
        <w:top w:val="none" w:sz="0" w:space="0" w:color="auto"/>
        <w:left w:val="none" w:sz="0" w:space="0" w:color="auto"/>
        <w:bottom w:val="none" w:sz="0" w:space="0" w:color="auto"/>
        <w:right w:val="none" w:sz="0" w:space="0" w:color="auto"/>
      </w:divBdr>
    </w:div>
    <w:div w:id="199008737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2.xml.rels><?xml version="1.0" encoding="UTF-8" standalone="yes"?>
<Relationships xmlns="http://schemas.openxmlformats.org/package/2006/relationships"><Relationship Id="rId1"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SYKtZbOkSiSIxgJdyrFCksFmWjA==">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84</Pages>
  <Words>21205</Words>
  <Characters>116632</Characters>
  <Application>Microsoft Office Word</Application>
  <DocSecurity>0</DocSecurity>
  <Lines>971</Lines>
  <Paragraphs>275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137562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LAURA DAZA</dc:creator>
  <cp:lastModifiedBy>Leydi Laura Daza Poveda</cp:lastModifiedBy>
  <cp:revision>2</cp:revision>
  <dcterms:created xsi:type="dcterms:W3CDTF">2025-12-05T20:51:00Z</dcterms:created>
  <dcterms:modified xsi:type="dcterms:W3CDTF">2025-12-05T20:51:00Z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1033-12.2.0.23131</vt:lpwstr>
  </property>
  <property fmtid="{D5CDD505-2E9C-101B-9397-08002B2CF9AE}" pid="3" name="ICV">
    <vt:lpwstr>01715564DAAA44788A0A951D3B8E5506_13</vt:lpwstr>
  </property>
</Properties>
</file>